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110" w:rsidRPr="00821110" w:rsidRDefault="00821110" w:rsidP="00821110">
      <w:pPr>
        <w:widowControl/>
        <w:shd w:val="clear" w:color="auto" w:fill="FFFFFF"/>
        <w:jc w:val="center"/>
        <w:outlineLvl w:val="2"/>
        <w:rPr>
          <w:rFonts w:ascii="Helvetica" w:eastAsia="宋体" w:hAnsi="Helvetica" w:cs="宋体"/>
          <w:color w:val="333333"/>
          <w:kern w:val="0"/>
          <w:sz w:val="36"/>
          <w:szCs w:val="36"/>
        </w:rPr>
      </w:pPr>
      <w:r w:rsidRPr="00821110">
        <w:rPr>
          <w:rFonts w:ascii="Helvetica" w:eastAsia="宋体" w:hAnsi="Helvetica" w:cs="宋体"/>
          <w:color w:val="333333"/>
          <w:kern w:val="0"/>
          <w:sz w:val="36"/>
          <w:szCs w:val="36"/>
        </w:rPr>
        <w:t>中华人民共和国消防法</w:t>
      </w:r>
    </w:p>
    <w:p w:rsidR="00821110" w:rsidRPr="00821110" w:rsidRDefault="00821110" w:rsidP="00821110">
      <w:pPr>
        <w:widowControl/>
        <w:shd w:val="clear" w:color="auto" w:fill="FFFFFF"/>
        <w:jc w:val="left"/>
        <w:rPr>
          <w:rFonts w:ascii="宋体" w:eastAsia="宋体" w:hAnsi="宋体" w:cs="宋体"/>
          <w:color w:val="5C5C5C"/>
          <w:kern w:val="0"/>
          <w:sz w:val="24"/>
          <w:szCs w:val="24"/>
        </w:rPr>
      </w:pPr>
      <w:r w:rsidRPr="00821110">
        <w:rPr>
          <w:rFonts w:ascii="宋体" w:eastAsia="宋体" w:hAnsi="宋体" w:cs="宋体" w:hint="eastAsia"/>
          <w:color w:val="5C5C5C"/>
          <w:kern w:val="0"/>
          <w:sz w:val="24"/>
          <w:szCs w:val="24"/>
        </w:rPr>
        <w:t>2019-04-26 14:17来源：消防救援局</w:t>
      </w:r>
    </w:p>
    <w:p w:rsidR="00821110" w:rsidRPr="00821110" w:rsidRDefault="00821110" w:rsidP="00821110">
      <w:pPr>
        <w:widowControl/>
        <w:numPr>
          <w:ilvl w:val="0"/>
          <w:numId w:val="1"/>
        </w:numPr>
        <w:shd w:val="clear" w:color="auto" w:fill="FFFFFF"/>
        <w:ind w:left="510"/>
        <w:jc w:val="left"/>
        <w:rPr>
          <w:rFonts w:ascii="宋体" w:eastAsia="宋体" w:hAnsi="宋体" w:cs="宋体" w:hint="eastAsia"/>
          <w:color w:val="5C5C5C"/>
          <w:kern w:val="0"/>
          <w:sz w:val="24"/>
          <w:szCs w:val="24"/>
        </w:rPr>
      </w:pPr>
      <w:r>
        <w:rPr>
          <w:rFonts w:ascii="宋体" w:eastAsia="宋体" w:hAnsi="宋体" w:cs="宋体"/>
          <w:noProof/>
          <w:color w:val="5C5C5C"/>
          <w:kern w:val="0"/>
          <w:sz w:val="24"/>
          <w:szCs w:val="24"/>
        </w:rPr>
        <w:drawing>
          <wp:inline distT="0" distB="0" distL="0" distR="0">
            <wp:extent cx="177800" cy="203200"/>
            <wp:effectExtent l="0" t="0" r="0" b="6350"/>
            <wp:docPr id="2" name="图片 2" descr="http://www.mem.gov.cn/image/fenxiang_01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m.gov.cn/image/fenxiang_01_0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0" cy="203200"/>
                    </a:xfrm>
                    <a:prstGeom prst="rect">
                      <a:avLst/>
                    </a:prstGeom>
                    <a:noFill/>
                    <a:ln>
                      <a:noFill/>
                    </a:ln>
                  </pic:spPr>
                </pic:pic>
              </a:graphicData>
            </a:graphic>
          </wp:inline>
        </w:drawing>
      </w:r>
      <w:r w:rsidRPr="00821110">
        <w:rPr>
          <w:rFonts w:ascii="宋体" w:eastAsia="宋体" w:hAnsi="宋体" w:cs="宋体" w:hint="eastAsia"/>
          <w:color w:val="5C5C5C"/>
          <w:kern w:val="0"/>
          <w:sz w:val="24"/>
          <w:szCs w:val="24"/>
        </w:rPr>
        <w:t> </w:t>
      </w:r>
      <w:hyperlink r:id="rId9" w:history="1">
        <w:r w:rsidRPr="00821110">
          <w:rPr>
            <w:rFonts w:ascii="宋体" w:eastAsia="宋体" w:hAnsi="宋体" w:cs="宋体" w:hint="eastAsia"/>
            <w:color w:val="5C5C5C"/>
            <w:kern w:val="0"/>
            <w:sz w:val="24"/>
            <w:szCs w:val="24"/>
          </w:rPr>
          <w:t>分享</w:t>
        </w:r>
      </w:hyperlink>
      <w:r w:rsidRPr="00821110">
        <w:rPr>
          <w:rFonts w:ascii="宋体" w:eastAsia="宋体" w:hAnsi="宋体" w:cs="宋体" w:hint="eastAsia"/>
          <w:color w:val="5C5C5C"/>
          <w:kern w:val="0"/>
          <w:sz w:val="24"/>
          <w:szCs w:val="24"/>
        </w:rPr>
        <w:t xml:space="preserve"> </w:t>
      </w:r>
    </w:p>
    <w:p w:rsidR="00821110" w:rsidRPr="00821110" w:rsidRDefault="00821110" w:rsidP="00821110">
      <w:pPr>
        <w:widowControl/>
        <w:numPr>
          <w:ilvl w:val="1"/>
          <w:numId w:val="1"/>
        </w:numPr>
        <w:shd w:val="clear" w:color="auto" w:fill="FFFFFF"/>
        <w:spacing w:line="360" w:lineRule="atLeast"/>
        <w:ind w:left="1020"/>
        <w:jc w:val="left"/>
        <w:rPr>
          <w:rFonts w:ascii="宋体" w:eastAsia="宋体" w:hAnsi="宋体" w:cs="宋体" w:hint="eastAsia"/>
          <w:vanish/>
          <w:color w:val="5C5C5C"/>
          <w:kern w:val="0"/>
          <w:szCs w:val="21"/>
        </w:rPr>
      </w:pPr>
      <w:r w:rsidRPr="00821110">
        <w:rPr>
          <w:rFonts w:ascii="宋体" w:eastAsia="宋体" w:hAnsi="宋体" w:cs="宋体" w:hint="eastAsia"/>
          <w:vanish/>
          <w:color w:val="5C5C5C"/>
          <w:kern w:val="0"/>
          <w:szCs w:val="21"/>
        </w:rPr>
        <w:t>新浪微博</w:t>
      </w:r>
    </w:p>
    <w:p w:rsidR="00821110" w:rsidRPr="00821110" w:rsidRDefault="00821110" w:rsidP="00821110">
      <w:pPr>
        <w:widowControl/>
        <w:numPr>
          <w:ilvl w:val="1"/>
          <w:numId w:val="1"/>
        </w:numPr>
        <w:shd w:val="clear" w:color="auto" w:fill="FFFFFF"/>
        <w:spacing w:line="360" w:lineRule="atLeast"/>
        <w:ind w:left="1020"/>
        <w:jc w:val="left"/>
        <w:rPr>
          <w:rFonts w:ascii="宋体" w:eastAsia="宋体" w:hAnsi="宋体" w:cs="宋体" w:hint="eastAsia"/>
          <w:vanish/>
          <w:color w:val="5C5C5C"/>
          <w:kern w:val="0"/>
          <w:szCs w:val="21"/>
        </w:rPr>
      </w:pPr>
      <w:r w:rsidRPr="00821110">
        <w:rPr>
          <w:rFonts w:ascii="宋体" w:eastAsia="宋体" w:hAnsi="宋体" w:cs="宋体" w:hint="eastAsia"/>
          <w:vanish/>
          <w:color w:val="5C5C5C"/>
          <w:kern w:val="0"/>
          <w:szCs w:val="21"/>
        </w:rPr>
        <w:t>QQ空间</w:t>
      </w:r>
    </w:p>
    <w:p w:rsidR="00821110" w:rsidRPr="00821110" w:rsidRDefault="00821110" w:rsidP="00821110">
      <w:pPr>
        <w:widowControl/>
        <w:numPr>
          <w:ilvl w:val="1"/>
          <w:numId w:val="1"/>
        </w:numPr>
        <w:shd w:val="clear" w:color="auto" w:fill="FFFFFF"/>
        <w:spacing w:line="360" w:lineRule="atLeast"/>
        <w:ind w:left="1020"/>
        <w:jc w:val="left"/>
        <w:rPr>
          <w:rFonts w:ascii="宋体" w:eastAsia="宋体" w:hAnsi="宋体" w:cs="宋体" w:hint="eastAsia"/>
          <w:vanish/>
          <w:color w:val="5C5C5C"/>
          <w:kern w:val="0"/>
          <w:szCs w:val="21"/>
        </w:rPr>
      </w:pPr>
      <w:r w:rsidRPr="00821110">
        <w:rPr>
          <w:rFonts w:ascii="宋体" w:eastAsia="宋体" w:hAnsi="宋体" w:cs="宋体" w:hint="eastAsia"/>
          <w:vanish/>
          <w:color w:val="5C5C5C"/>
          <w:kern w:val="0"/>
          <w:szCs w:val="21"/>
        </w:rPr>
        <w:t>微信</w:t>
      </w:r>
    </w:p>
    <w:p w:rsidR="00821110" w:rsidRPr="00821110" w:rsidRDefault="00821110" w:rsidP="00821110">
      <w:pPr>
        <w:widowControl/>
        <w:numPr>
          <w:ilvl w:val="1"/>
          <w:numId w:val="1"/>
        </w:numPr>
        <w:shd w:val="clear" w:color="auto" w:fill="FFFFFF"/>
        <w:spacing w:line="360" w:lineRule="atLeast"/>
        <w:ind w:left="1020"/>
        <w:jc w:val="left"/>
        <w:rPr>
          <w:rFonts w:ascii="宋体" w:eastAsia="宋体" w:hAnsi="宋体" w:cs="宋体" w:hint="eastAsia"/>
          <w:vanish/>
          <w:color w:val="5C5C5C"/>
          <w:kern w:val="0"/>
          <w:szCs w:val="21"/>
        </w:rPr>
      </w:pPr>
      <w:r w:rsidRPr="00821110">
        <w:rPr>
          <w:rFonts w:ascii="宋体" w:eastAsia="宋体" w:hAnsi="宋体" w:cs="宋体" w:hint="eastAsia"/>
          <w:vanish/>
          <w:color w:val="5C5C5C"/>
          <w:kern w:val="0"/>
          <w:szCs w:val="21"/>
        </w:rPr>
        <w:t>QQ好友</w:t>
      </w:r>
    </w:p>
    <w:p w:rsidR="00821110" w:rsidRPr="00821110" w:rsidRDefault="00821110" w:rsidP="00821110">
      <w:pPr>
        <w:widowControl/>
        <w:numPr>
          <w:ilvl w:val="1"/>
          <w:numId w:val="1"/>
        </w:numPr>
        <w:shd w:val="clear" w:color="auto" w:fill="FFFFFF"/>
        <w:spacing w:line="360" w:lineRule="atLeast"/>
        <w:ind w:left="1020"/>
        <w:jc w:val="left"/>
        <w:rPr>
          <w:rFonts w:ascii="宋体" w:eastAsia="宋体" w:hAnsi="宋体" w:cs="宋体" w:hint="eastAsia"/>
          <w:vanish/>
          <w:color w:val="5C5C5C"/>
          <w:kern w:val="0"/>
          <w:szCs w:val="21"/>
        </w:rPr>
      </w:pPr>
      <w:r w:rsidRPr="00821110">
        <w:rPr>
          <w:rFonts w:ascii="宋体" w:eastAsia="宋体" w:hAnsi="宋体" w:cs="宋体" w:hint="eastAsia"/>
          <w:vanish/>
          <w:color w:val="5C5C5C"/>
          <w:kern w:val="0"/>
          <w:szCs w:val="21"/>
        </w:rPr>
        <w:t>更多</w:t>
      </w:r>
    </w:p>
    <w:p w:rsidR="00821110" w:rsidRPr="00821110" w:rsidRDefault="00821110" w:rsidP="00821110">
      <w:pPr>
        <w:widowControl/>
        <w:numPr>
          <w:ilvl w:val="0"/>
          <w:numId w:val="1"/>
        </w:numPr>
        <w:shd w:val="clear" w:color="auto" w:fill="FFFFFF"/>
        <w:ind w:left="510"/>
        <w:jc w:val="left"/>
        <w:rPr>
          <w:rFonts w:ascii="宋体" w:eastAsia="宋体" w:hAnsi="宋体" w:cs="宋体" w:hint="eastAsia"/>
          <w:color w:val="5C5C5C"/>
          <w:kern w:val="0"/>
          <w:sz w:val="24"/>
          <w:szCs w:val="24"/>
        </w:rPr>
      </w:pPr>
      <w:r w:rsidRPr="00821110">
        <w:rPr>
          <w:rFonts w:ascii="宋体" w:eastAsia="宋体" w:hAnsi="宋体" w:cs="宋体" w:hint="eastAsia"/>
          <w:vanish/>
          <w:color w:val="5C5C5C"/>
          <w:kern w:val="0"/>
          <w:szCs w:val="21"/>
        </w:rPr>
        <w:pict/>
      </w:r>
      <w:r w:rsidRPr="00821110">
        <w:rPr>
          <w:rFonts w:ascii="宋体" w:eastAsia="宋体" w:hAnsi="宋体" w:cs="宋体" w:hint="eastAsia"/>
          <w:vanish/>
          <w:color w:val="5C5C5C"/>
          <w:kern w:val="0"/>
          <w:szCs w:val="21"/>
        </w:rPr>
        <w:pict/>
      </w:r>
      <w:r>
        <w:rPr>
          <w:rFonts w:ascii="宋体" w:eastAsia="宋体" w:hAnsi="宋体" w:cs="宋体"/>
          <w:noProof/>
          <w:color w:val="5C5C5C"/>
          <w:kern w:val="0"/>
          <w:sz w:val="24"/>
          <w:szCs w:val="24"/>
        </w:rPr>
        <w:drawing>
          <wp:inline distT="0" distB="0" distL="0" distR="0">
            <wp:extent cx="203200" cy="203200"/>
            <wp:effectExtent l="0" t="0" r="6350" b="6350"/>
            <wp:docPr id="1" name="图片 1" descr="http://www.mem.gov.cn/image/daying_01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m.gov.cn/image/daying_01_0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1110">
        <w:rPr>
          <w:rFonts w:ascii="宋体" w:eastAsia="宋体" w:hAnsi="宋体" w:cs="宋体" w:hint="eastAsia"/>
          <w:color w:val="5C5C5C"/>
          <w:kern w:val="0"/>
          <w:sz w:val="24"/>
          <w:szCs w:val="24"/>
        </w:rPr>
        <w:t> </w:t>
      </w:r>
      <w:hyperlink r:id="rId11" w:history="1">
        <w:r w:rsidRPr="00821110">
          <w:rPr>
            <w:rFonts w:ascii="宋体" w:eastAsia="宋体" w:hAnsi="宋体" w:cs="宋体" w:hint="eastAsia"/>
            <w:color w:val="5C5C5C"/>
            <w:kern w:val="0"/>
            <w:sz w:val="24"/>
            <w:szCs w:val="24"/>
          </w:rPr>
          <w:t>打印</w:t>
        </w:r>
      </w:hyperlink>
    </w:p>
    <w:p w:rsidR="00821110" w:rsidRPr="00821110" w:rsidRDefault="00821110" w:rsidP="00821110">
      <w:pPr>
        <w:widowControl/>
        <w:numPr>
          <w:ilvl w:val="0"/>
          <w:numId w:val="1"/>
        </w:numPr>
        <w:shd w:val="clear" w:color="auto" w:fill="FFFFFF"/>
        <w:ind w:left="510"/>
        <w:jc w:val="left"/>
        <w:rPr>
          <w:rFonts w:ascii="宋体" w:eastAsia="宋体" w:hAnsi="宋体" w:cs="宋体" w:hint="eastAsia"/>
          <w:color w:val="5C5C5C"/>
          <w:kern w:val="0"/>
          <w:sz w:val="24"/>
          <w:szCs w:val="24"/>
        </w:rPr>
      </w:pPr>
      <w:r w:rsidRPr="00821110">
        <w:rPr>
          <w:rFonts w:ascii="宋体" w:eastAsia="宋体" w:hAnsi="宋体" w:cs="宋体" w:hint="eastAsia"/>
          <w:color w:val="5C5C5C"/>
          <w:kern w:val="0"/>
          <w:sz w:val="24"/>
          <w:szCs w:val="24"/>
        </w:rPr>
        <w:t>字体：【</w:t>
      </w:r>
      <w:hyperlink r:id="rId12" w:history="1">
        <w:r w:rsidRPr="00821110">
          <w:rPr>
            <w:rFonts w:ascii="宋体" w:eastAsia="宋体" w:hAnsi="宋体" w:cs="宋体" w:hint="eastAsia"/>
            <w:color w:val="5C5C5C"/>
            <w:kern w:val="0"/>
            <w:sz w:val="24"/>
            <w:szCs w:val="24"/>
          </w:rPr>
          <w:t>大</w:t>
        </w:r>
      </w:hyperlink>
      <w:hyperlink r:id="rId13" w:history="1">
        <w:r w:rsidRPr="00821110">
          <w:rPr>
            <w:rFonts w:ascii="宋体" w:eastAsia="宋体" w:hAnsi="宋体" w:cs="宋体" w:hint="eastAsia"/>
            <w:color w:val="5C5C5C"/>
            <w:kern w:val="0"/>
            <w:sz w:val="24"/>
            <w:szCs w:val="24"/>
          </w:rPr>
          <w:t>中</w:t>
        </w:r>
      </w:hyperlink>
      <w:hyperlink r:id="rId14" w:history="1">
        <w:r w:rsidRPr="00821110">
          <w:rPr>
            <w:rFonts w:ascii="宋体" w:eastAsia="宋体" w:hAnsi="宋体" w:cs="宋体" w:hint="eastAsia"/>
            <w:color w:val="5C5C5C"/>
            <w:kern w:val="0"/>
            <w:sz w:val="24"/>
            <w:szCs w:val="24"/>
          </w:rPr>
          <w:t>小</w:t>
        </w:r>
      </w:hyperlink>
      <w:r w:rsidRPr="00821110">
        <w:rPr>
          <w:rFonts w:ascii="宋体" w:eastAsia="宋体" w:hAnsi="宋体" w:cs="宋体" w:hint="eastAsia"/>
          <w:color w:val="5C5C5C"/>
          <w:kern w:val="0"/>
          <w:sz w:val="24"/>
          <w:szCs w:val="24"/>
        </w:rPr>
        <w:t>】</w:t>
      </w:r>
    </w:p>
    <w:p w:rsidR="00821110" w:rsidRPr="00821110" w:rsidRDefault="00821110" w:rsidP="00821110">
      <w:pPr>
        <w:widowControl/>
        <w:shd w:val="clear" w:color="auto" w:fill="FFFFFF"/>
        <w:spacing w:before="525" w:afterLines="100" w:after="312" w:line="380" w:lineRule="exact"/>
        <w:jc w:val="center"/>
        <w:rPr>
          <w:rFonts w:ascii="宋体" w:eastAsia="宋体" w:hAnsi="宋体" w:cs="宋体" w:hint="eastAsia"/>
          <w:color w:val="333333"/>
          <w:kern w:val="0"/>
          <w:sz w:val="27"/>
          <w:szCs w:val="27"/>
        </w:rPr>
      </w:pPr>
      <w:r w:rsidRPr="00821110">
        <w:rPr>
          <w:rFonts w:ascii="宋体" w:eastAsia="宋体" w:hAnsi="宋体" w:cs="宋体" w:hint="eastAsia"/>
          <w:b/>
          <w:bCs/>
          <w:color w:val="333333"/>
          <w:kern w:val="0"/>
          <w:sz w:val="40"/>
          <w:szCs w:val="40"/>
        </w:rPr>
        <w:t>中华人民共和国主席令</w:t>
      </w:r>
    </w:p>
    <w:p w:rsidR="00821110" w:rsidRPr="00821110" w:rsidRDefault="00821110" w:rsidP="00821110">
      <w:pPr>
        <w:widowControl/>
        <w:shd w:val="clear" w:color="auto" w:fill="FFFFFF"/>
        <w:spacing w:before="525" w:afterLines="100" w:after="312" w:line="560" w:lineRule="exact"/>
        <w:jc w:val="center"/>
        <w:rPr>
          <w:rFonts w:ascii="宋体" w:eastAsia="宋体" w:hAnsi="宋体" w:cs="宋体" w:hint="eastAsia"/>
          <w:color w:val="333333"/>
          <w:kern w:val="0"/>
          <w:sz w:val="27"/>
          <w:szCs w:val="27"/>
        </w:rPr>
      </w:pPr>
      <w:r w:rsidRPr="00821110">
        <w:rPr>
          <w:rFonts w:ascii="楷体_GB2312" w:eastAsia="楷体_GB2312" w:hAnsi="宋体" w:cs="宋体" w:hint="eastAsia"/>
          <w:color w:val="333333"/>
          <w:kern w:val="0"/>
          <w:sz w:val="32"/>
          <w:szCs w:val="32"/>
        </w:rPr>
        <w:t>（第二十九号）</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全国人民代表大会常务委员会关于修改〈中华人民共和国建筑法〉等八部法律的决定》已由中华人民共和国第十三届全国人民代表大会常务委员会第十次会议于2019年4月23日通过，现予公布，《中华人民共和国商标法》的修改条款自2019年11月1日起施行，其他法律的修改条款自本决定公布之日起施行。</w:t>
      </w:r>
    </w:p>
    <w:p w:rsidR="00821110" w:rsidRPr="00821110" w:rsidRDefault="00821110" w:rsidP="00821110">
      <w:pPr>
        <w:widowControl/>
        <w:shd w:val="clear" w:color="auto" w:fill="FFFFFF"/>
        <w:spacing w:before="525" w:afterLines="100" w:after="312" w:line="560" w:lineRule="exact"/>
        <w:ind w:firstLineChars="200" w:firstLine="640"/>
        <w:jc w:val="righ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中华人民共和国主席   习近平</w:t>
      </w:r>
    </w:p>
    <w:p w:rsidR="00821110" w:rsidRPr="00821110" w:rsidRDefault="00821110" w:rsidP="00821110">
      <w:pPr>
        <w:widowControl/>
        <w:shd w:val="clear" w:color="auto" w:fill="FFFFFF"/>
        <w:spacing w:before="525" w:afterLines="100" w:after="312" w:line="560" w:lineRule="exact"/>
        <w:ind w:firstLineChars="200" w:firstLine="640"/>
        <w:jc w:val="righ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2019年4月23日</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 </w:t>
      </w:r>
    </w:p>
    <w:p w:rsidR="00821110" w:rsidRPr="00821110" w:rsidRDefault="00821110" w:rsidP="00821110">
      <w:pPr>
        <w:widowControl/>
        <w:shd w:val="clear" w:color="auto" w:fill="FFFFFF"/>
        <w:spacing w:before="525" w:afterLines="100" w:after="312" w:line="380" w:lineRule="exact"/>
        <w:jc w:val="center"/>
        <w:rPr>
          <w:rFonts w:ascii="宋体" w:eastAsia="宋体" w:hAnsi="宋体" w:cs="宋体" w:hint="eastAsia"/>
          <w:color w:val="333333"/>
          <w:kern w:val="0"/>
          <w:sz w:val="27"/>
          <w:szCs w:val="27"/>
        </w:rPr>
      </w:pPr>
      <w:r w:rsidRPr="00821110">
        <w:rPr>
          <w:rFonts w:ascii="宋体" w:eastAsia="宋体" w:hAnsi="宋体" w:cs="宋体" w:hint="eastAsia"/>
          <w:b/>
          <w:bCs/>
          <w:color w:val="333333"/>
          <w:kern w:val="0"/>
          <w:sz w:val="40"/>
          <w:szCs w:val="40"/>
        </w:rPr>
        <w:t>中华人民共和国消防法</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lastRenderedPageBreak/>
        <w:t>（1998年4月29日第九届全国人民代表大会常务委员会第二次会议通过　2008年10月28日第十一届全国人民代表大会常务委员会第五次会议修订通过　根据2019年4月23日第十三届全国人民代表大会常务委员会第十次会议《关于修改〈中华人民共和国建筑法〉等八部法律的决定》修正）</w:t>
      </w:r>
    </w:p>
    <w:p w:rsidR="00821110" w:rsidRPr="00821110" w:rsidRDefault="00821110" w:rsidP="00821110">
      <w:pPr>
        <w:widowControl/>
        <w:shd w:val="clear" w:color="auto" w:fill="FFFFFF"/>
        <w:spacing w:before="525" w:afterLines="100" w:after="312" w:line="560" w:lineRule="exact"/>
        <w:jc w:val="center"/>
        <w:rPr>
          <w:rFonts w:ascii="宋体" w:eastAsia="宋体" w:hAnsi="宋体" w:cs="宋体" w:hint="eastAsia"/>
          <w:color w:val="333333"/>
          <w:kern w:val="0"/>
          <w:sz w:val="27"/>
          <w:szCs w:val="27"/>
        </w:rPr>
      </w:pPr>
      <w:r w:rsidRPr="00821110">
        <w:rPr>
          <w:rFonts w:ascii="宋体" w:eastAsia="宋体" w:hAnsi="宋体" w:cs="宋体" w:hint="eastAsia"/>
          <w:b/>
          <w:bCs/>
          <w:color w:val="333333"/>
          <w:kern w:val="0"/>
          <w:sz w:val="32"/>
          <w:szCs w:val="32"/>
        </w:rPr>
        <w:t>第一章　总 则</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第一条　为了预防火灾和减少火灾危害，加强应急救援工作，保护人身、财产安全，维护公共安全，制定本法。</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第二条　消防工作贯彻预防为主、防消结合的方针，按照政府统一领导、部门依法监管、单位全面负责、公民积极参与的原则，实行消防安全责任制，建立健全社会化的消防工作网络。</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第三条　国务院领导全国的消防工作。地方各级人民政府负责本行政区域内的消防工作。</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各级人民政府应当将消防工作纳入国民经济和社会发展计划，保障消防工作与经济社会发展相适应。</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第四条　国务院应急管理部门对全国的消防工作实施监督管理。县级以上地方人民政府应急管理部门对本行政区域内的消防工作实施监督管理，并由本级人民政府消防救援</w:t>
      </w:r>
      <w:r w:rsidRPr="00821110">
        <w:rPr>
          <w:rFonts w:ascii="宋体" w:eastAsia="宋体" w:hAnsi="宋体" w:cs="宋体" w:hint="eastAsia"/>
          <w:color w:val="333333"/>
          <w:kern w:val="0"/>
          <w:sz w:val="32"/>
          <w:szCs w:val="32"/>
        </w:rPr>
        <w:lastRenderedPageBreak/>
        <w:t>机构负责实施。军事设施的消防工作，由其主管单位监督管理，消防救援机构协助；矿井地下部分、核电厂、海上石油天然气设施的消防工作，由其主管单位监督管理。</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县级以上人民政府其他有关部门在各自的职责范围内，依照本法和其他相关法律、法规的规定做好消防工作。</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法律、行政法规对森林、草原的消防工作另有规定的，从其规定。</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第五条　任何单位和个人都有维护消防安全、保护消防设施、预防火灾、报告火警的义务。任何单位和成年人都有参加有组织的灭火工作的义务。</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第六条　各级人民政府应当组织开展经常性的消防宣传教育，提高公民的消防安全意识。</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机关、团体、企业、事业等单位，应当加强对本单位人员的消防宣传教育。</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应急管理部门及消防救援机构应当加强消防法律、法规的宣传，并督促、指导、协助有关单位做好消防宣传教育工作。</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lastRenderedPageBreak/>
        <w:t>教育、人力资源行政主管部门和学校、有关职业培训机构应当将消防知识纳入教育、教学、培训的内容。</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新闻、广播、电视等有关单位，应当有针对性地面向社会进行消防宣传教育。</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工会、共产主义青年团、妇女联合会等团体应当结合各自工作对象的特点，组织开展消防宣传教育。</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村民委员会、居民委员会应当协助人民政府以及公安机关、应急管理等部门，加强消防宣传教育。</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第七条　国家鼓励、支持消防科学研究和技术创新，推广使用先进的消防和应急救援技术、设备；鼓励、支持社会力量开展消防公益活动。</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对在消防工作中有突出贡献的单位和个人，应当按照国家有关规定给予表彰和奖励。</w:t>
      </w:r>
    </w:p>
    <w:p w:rsidR="00821110" w:rsidRPr="00821110" w:rsidRDefault="00821110" w:rsidP="00821110">
      <w:pPr>
        <w:widowControl/>
        <w:shd w:val="clear" w:color="auto" w:fill="FFFFFF"/>
        <w:spacing w:before="525" w:afterLines="100" w:after="312" w:line="560" w:lineRule="exact"/>
        <w:jc w:val="center"/>
        <w:rPr>
          <w:rFonts w:ascii="宋体" w:eastAsia="宋体" w:hAnsi="宋体" w:cs="宋体" w:hint="eastAsia"/>
          <w:color w:val="333333"/>
          <w:kern w:val="0"/>
          <w:sz w:val="27"/>
          <w:szCs w:val="27"/>
        </w:rPr>
      </w:pPr>
      <w:r w:rsidRPr="00821110">
        <w:rPr>
          <w:rFonts w:ascii="宋体" w:eastAsia="宋体" w:hAnsi="宋体" w:cs="宋体" w:hint="eastAsia"/>
          <w:b/>
          <w:bCs/>
          <w:color w:val="333333"/>
          <w:kern w:val="0"/>
          <w:sz w:val="32"/>
          <w:szCs w:val="32"/>
        </w:rPr>
        <w:t>第二章　火灾预防</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第八条　地方各级人民政府应当将包括消防安全布局、消防站、消防供水、消防通信、消防车通道、消防装备等内容的消防规划纳入城乡规划，并负责组织实施。</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proofErr w:type="gramStart"/>
      <w:r w:rsidRPr="00821110">
        <w:rPr>
          <w:rFonts w:ascii="宋体" w:eastAsia="宋体" w:hAnsi="宋体" w:cs="宋体" w:hint="eastAsia"/>
          <w:color w:val="333333"/>
          <w:kern w:val="0"/>
          <w:sz w:val="32"/>
          <w:szCs w:val="32"/>
        </w:rPr>
        <w:lastRenderedPageBreak/>
        <w:t>城乡消防</w:t>
      </w:r>
      <w:proofErr w:type="gramEnd"/>
      <w:r w:rsidRPr="00821110">
        <w:rPr>
          <w:rFonts w:ascii="宋体" w:eastAsia="宋体" w:hAnsi="宋体" w:cs="宋体" w:hint="eastAsia"/>
          <w:color w:val="333333"/>
          <w:kern w:val="0"/>
          <w:sz w:val="32"/>
          <w:szCs w:val="32"/>
        </w:rPr>
        <w:t>安全布局不符合消防安全要求的，应当调整、完善；公共消防设施、消防装备不足或者不适应实际需要的，应当增建、改建、配置或者进行技术改造。</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第九条　建设工程的消防设计、施工必须符合国家工程建设消防技术标准。建设、设计、施工、工程监理等单位依法对建设工程的消防设计、施工质量负责。</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第十条　对按照国家工程建设消防技术标准需要进行消防设计的建设工程，实行建设工程消防设计审查验收制度。</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第十一条　国务院住房和城乡建设主管部门规定的特殊建设工程，建设单位应当将消防设计文件报送住房和城乡建设主管部门审查，住房和城乡建设主管部门依法对审查的结果负责。</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前款规定以外的其他建设工程，建设单位申请领取施工许可证或者申请批准开工报告时应当提供满足施工需要的消防设计图纸及技术资料。</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第十二条　特殊建设工程未经消防设计审查或者审查不合格的，建设单位、施工单位不得施工；其他建设工程，建设单位未提供满足施工需要的消防设计图纸及技术资料的，有关部门不得发放施工许可证或者批准开工报告。</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lastRenderedPageBreak/>
        <w:t>第十三条　国务院住房和城乡建设主管部门规定应当申请消防验收的建设工程竣工，建设单位应当向住房和城乡建设主管部门申请消防验收。</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前款规定以外的其他建设工程，建设单位在验收后应当报住房和城乡建设主管部门备案，住房和城乡建设主管部门应当进行抽查。</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依法应当进行消防验收的建设工程，未经消防验收或者消防验收不合格的，禁止投入使用；其他建设工程经依法抽查不合格的，应当停止使用。</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第十四条　建设工程消防设计审查、消防验收、备案和抽查的具体办法，由国务院住房和城乡建设主管部门规定。</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第十五条　公众聚集场所在投入使用、营业前，建设单位或者使用单位应当向场所所在地的县级以上地方人民政府消防救援机构申请消防安全检查。</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消防救援机构应当自受理申请之日起十个工作日内，根据消防技术标准和管理规定，对该场所进行消防安全检查。未经消防安全检查或者经检查不符合消防安全要求的，不得投入使用、营业。</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lastRenderedPageBreak/>
        <w:t>第十六条　机关、团体、企业、事业等单位应当履行下列消防安全职责：</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（一）落实消防安全责任制，制定本单位的消防安全制度、消防安全操作规程，制定灭火和应急疏散预案；</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（二）按照国家标准、行业标准配置消防设施、器材，设置消防安全标志，并定期组织检验、维修，确保完好有效；</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（三）对建筑消防设施每年至少进行一次全面检测，确保完好有效，检测记录应当完整准确，存档备查；</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（四）保障疏散通道、安全出口、消防车通道畅通，保证防火防烟分区、防火间距符合消防技术标准；</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（五）组织防火检查，及时消除火灾隐患；</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（六）组织进行有针对性的消防演练；</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（七）法律、法规规定的其他消防安全职责。</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单位的主要负责人是本单位的消防安全责任人。</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第十七条　县级以上地方人民政府消防救援机构应当将发生火灾可能性较大以及发生火灾可能造成重大的人身</w:t>
      </w:r>
      <w:r w:rsidRPr="00821110">
        <w:rPr>
          <w:rFonts w:ascii="宋体" w:eastAsia="宋体" w:hAnsi="宋体" w:cs="宋体" w:hint="eastAsia"/>
          <w:color w:val="333333"/>
          <w:kern w:val="0"/>
          <w:sz w:val="32"/>
          <w:szCs w:val="32"/>
        </w:rPr>
        <w:lastRenderedPageBreak/>
        <w:t>伤亡或者财产损失的单位，确定为本行政区域内的消防安全重点单位，并由应急管理部门报本级人民政府备案。</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消防安全重点单位除应当履行本法第十六条规定的职责外，还应当履行下列消防安全职责：</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（一）确定消防安全管理人，组织实施本单位的消防安全管理工作；</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（二）建立消防档案，确定消防安全重点部位，设置防火标志，实行严格管理；</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（三）实行每日防火巡查，并建立巡查记录；</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（四）对职工进行岗前消防安全培训，定期组织消防安全培训和消防演练。</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第十八条　同一建筑物由两个以上单位管理或者使用的，应当明确各方的消防安全责任，并确定责任人对共用的疏散通道、安全出口、建筑消防设施和消防车通道进行统一管理。</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住宅区的物业服务企业应当对管理区域内的共用消防设施进行维护管理，提供消防安全防范服务。</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lastRenderedPageBreak/>
        <w:t>第十九条　生产、储存、经营易燃易爆危险品的场所不得与居住场所设置在同一建筑物内，并应当与居住场所保持安全距离。</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生产、储存、经营其他物品的场所与居住场所设置在同一建筑物内的，应当符合国家工程建设消防技术标准。</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第二十条　举办大型群众性活动，承办人应当依法向公安机关申请安全许可，制定灭火和应急疏散预案并组织演练，明确消防安全责任分工，确定消防安全管理人员，保持消防设施和消防器材配置齐全、完好有效，保证疏散通道、安全出口、疏散指示标志、应急照明和消防车通道符合消防技术标准和管理规定。</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第二十一条　禁止在具有火灾、爆炸危险的场所吸烟、使用明火。因施工等特殊情况需要使用明火作业的，应当按照规定事先办理审批手续，采取相应的消防安全措施；作业人员应当遵守消防安全规定。</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进行电焊、气焊等具有火灾危险作业的人员和自动消防系统的操作人员，必须持证上岗，并遵守消防安全操作规程。</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第二十二条　生产、储存、装卸易燃易爆危险品的工厂、仓库和专用车站、码头的设置，应当符合消防技术标准。易</w:t>
      </w:r>
      <w:r w:rsidRPr="00821110">
        <w:rPr>
          <w:rFonts w:ascii="宋体" w:eastAsia="宋体" w:hAnsi="宋体" w:cs="宋体" w:hint="eastAsia"/>
          <w:color w:val="333333"/>
          <w:kern w:val="0"/>
          <w:sz w:val="32"/>
          <w:szCs w:val="32"/>
        </w:rPr>
        <w:lastRenderedPageBreak/>
        <w:t>燃易爆气体和液体的充装站、供应站、调压站，应当设置在符合消防安全要求的位置，并符合防火防爆要求。</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已经设置的生产、储存、装卸易燃易爆危险品的工厂、仓库和专用车站、码头，易燃易爆气体和液体的充装站、供应站、调压站，不再符合前款规定的，地方人民政府应当组织、协调有关部门、单位限期解决，消除安全隐患。</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第二十三条　生产、储存、运输、销售、使用、销毁易燃易爆危险品，必须执行消防技术标准和管理规定。</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进入生产、储存易燃易爆危险品的场所，必须执行消防安全规定。禁止非法携带易燃易爆危险品进入公共场所或者乘坐公共交通工具。</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储存可燃物资仓库的管理，必须执行消防技术标准和管理规定。</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第二十四条　消防产品必须符合国家标准；没有国家标准的，必须符合行业标准。禁止生产、销售或者使用不合格的消防产品以及国家明令淘汰的消防产品。</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依法实行强制性产品认证的消防产品，由具有法定资质的认证机构按照国家标准、行业标准的强制性要求认证合格后，方可生产、销售、使用。实行强制性产品认证的消防产</w:t>
      </w:r>
      <w:r w:rsidRPr="00821110">
        <w:rPr>
          <w:rFonts w:ascii="宋体" w:eastAsia="宋体" w:hAnsi="宋体" w:cs="宋体" w:hint="eastAsia"/>
          <w:color w:val="333333"/>
          <w:kern w:val="0"/>
          <w:sz w:val="32"/>
          <w:szCs w:val="32"/>
        </w:rPr>
        <w:lastRenderedPageBreak/>
        <w:t>品目录，由国务院产品质量监督部门会同国务院应急管理部门制定并公布。</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新研制的尚未制定国家标准、行业标准的消防产品，应当按照国务院产品质量监督部门会同国务院应急管理部门规定的办法，经技术鉴定符合消防安全要求的，方可生产、销售、使用。</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 xml:space="preserve">　　依照本条规定经强制性产品认证合格或者技术鉴定合格的消防产品，国务院应急管理部门应当予以公布。</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第二十五条　产品质量监督部门、工商行政管理部门、消防救援机构应当按照各自职责加强对消防产品质量的监督检查。</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第二十六条　建筑构件、建筑材料和室内装修、装饰材料的防火性能必须符合国家标准；没有国家标准的，必须符合行业标准。</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人员密集场所室内装修、装饰，应当按照消防技术标准的要求，使用不燃、难燃材料。</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第二十七条　电器产品、燃气用具的产品标准，应当符合消防安全的要求。</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lastRenderedPageBreak/>
        <w:t>电器产品、燃气用具的安装、使用及其线路、管路的设计、敷设、维护保养、检测，必须符合消防技术标准和管理规定。</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第二十八条　任何单位、个人不得损坏、挪用或者擅自拆除、停用消防设施、器材，不得埋压、圈占、遮挡消火栓或者占用防火间距，不得占用、堵塞、封闭疏散通道、安全出口、消防车通道。人员密集场所的门窗不得设置影响逃生和灭火救援的障碍物。</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第二十九条　负责公共消防设施维护管理的单位，应当保持消防供水、消防通信、消防车通道等公共消防设施的完好有效。在修建道路以及停电、停水、截断通信线路时有可能影响消防队灭火救援的，有关单位必须事先通知当地消防救援机构。</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第三十条　地方各级人民政府应当加强对</w:t>
      </w:r>
      <w:proofErr w:type="gramStart"/>
      <w:r w:rsidRPr="00821110">
        <w:rPr>
          <w:rFonts w:ascii="宋体" w:eastAsia="宋体" w:hAnsi="宋体" w:cs="宋体" w:hint="eastAsia"/>
          <w:color w:val="333333"/>
          <w:kern w:val="0"/>
          <w:sz w:val="32"/>
          <w:szCs w:val="32"/>
        </w:rPr>
        <w:t>农村消防</w:t>
      </w:r>
      <w:proofErr w:type="gramEnd"/>
      <w:r w:rsidRPr="00821110">
        <w:rPr>
          <w:rFonts w:ascii="宋体" w:eastAsia="宋体" w:hAnsi="宋体" w:cs="宋体" w:hint="eastAsia"/>
          <w:color w:val="333333"/>
          <w:kern w:val="0"/>
          <w:sz w:val="32"/>
          <w:szCs w:val="32"/>
        </w:rPr>
        <w:t>工作的领导，采取措施加强公共消防设施建设，组织建立和督促落实消防安全责任制。</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第三十一条　在农业收获季节、森林和草原防火期间、重大节假日期间以及火灾多发季节，地方各级人民政府应当组织开展有针对性的消防宣传教育，采取防火措施，进行消防安全检查。</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lastRenderedPageBreak/>
        <w:t>第三十二条　乡镇人民政府、城市街道办事处应当指导、支持和帮助村民委员会、居民委员会开展群众性的消防工作。村民委员会、居民委员会应当确定消防安全管理人，组织制定防火安全公约，进行防火安全检查。</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第三十三条　国家鼓励、引导公众聚集场所和生产、储存、运输、销售易燃易爆危险品的企业投保火灾公众责任保险；鼓励保险公司承保火灾公众责任保险。</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第三十四条　消防产品质量认证、消防设施检测、消防安全监测等消防技术服务机构和执业人员，应当依法获得相应的资质、资格；依照法律、行政法规、国家标准、行业标准和执业准则，接受委托提供消防技术服务，并对服务质量负责。</w:t>
      </w:r>
    </w:p>
    <w:p w:rsidR="00821110" w:rsidRPr="00821110" w:rsidRDefault="00821110" w:rsidP="00821110">
      <w:pPr>
        <w:widowControl/>
        <w:shd w:val="clear" w:color="auto" w:fill="FFFFFF"/>
        <w:spacing w:before="525" w:afterLines="100" w:after="312" w:line="560" w:lineRule="exact"/>
        <w:jc w:val="center"/>
        <w:rPr>
          <w:rFonts w:ascii="宋体" w:eastAsia="宋体" w:hAnsi="宋体" w:cs="宋体" w:hint="eastAsia"/>
          <w:color w:val="333333"/>
          <w:kern w:val="0"/>
          <w:sz w:val="27"/>
          <w:szCs w:val="27"/>
        </w:rPr>
      </w:pPr>
      <w:r w:rsidRPr="00821110">
        <w:rPr>
          <w:rFonts w:ascii="宋体" w:eastAsia="宋体" w:hAnsi="宋体" w:cs="宋体" w:hint="eastAsia"/>
          <w:b/>
          <w:bCs/>
          <w:color w:val="333333"/>
          <w:kern w:val="0"/>
          <w:sz w:val="32"/>
          <w:szCs w:val="32"/>
        </w:rPr>
        <w:t>第三章　消防组织</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第三十五条　各级人民政府应当加强消防组织建设，根据经济社会发展的需要，建立多种形式的消防组织，加强消防技术人才培养，增强火灾预防、扑救和应急救援的能力。</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第三十六条　县级以上地方人民政府应当按照国家规定建立国家综合性消防救援队、专职消防队，并按照国家标准配备消防装备，承担火灾扑救工作。</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lastRenderedPageBreak/>
        <w:t>乡镇人民政府应当根据当地经济发展和消防工作的需要，建立专职消防队、志愿消防队，承担火灾扑救工作。</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第三十七条　国家综合性消防救援队、专职消防队按照国家规定承担重大灾害事故和其他以抢救人员生命为主的应急救援工作。</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第三十八条　国家综合性消防救援队、专职消防队应当充分发挥火灾扑救和应急救援专业力量的骨干作用；按照国家规定，组织实施专业技能训练，配备并维护保养装备器材，提高火灾扑救和应急救援的能力。</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第三十九条　下列单位应当建立单位专职消防队，承担本单位的火灾扑救工作：</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（一）大型核设施单位、大型发电厂、民用机场、主要港口；</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（二）生产、储存易燃易爆危险品的大型企业；</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（三）储备可燃的重要物资的大型仓库、基地；</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（四）第一项、第二项、第三项规定以外的火灾危险性较大、距离国家综合性消防救援队较远的其他大型企业；</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lastRenderedPageBreak/>
        <w:t>（五）距离国家综合性消防救援队较远、被列为全国重点文物保护单位的古建筑群的管理单位。</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第四十条　专职消防队的建立，应当符合国家有关规定，并报当地消防救援机构验收。</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专职消防队的队员依法享受社会保险和福利待遇。</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第四十一条　机关、团体、企业、事业等单位以及村民委员会、居民委员会根据需要，建立志愿消防队等多种形式的消防组织，开展群众性自防自救工作。</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第四十二条　消防救援机构应当对专职消防队、志愿消防队等消防组织进行业务指导；根据扑救火灾的需要，可以调动指挥专职消防队参加火灾扑救工作。</w:t>
      </w:r>
    </w:p>
    <w:p w:rsidR="00821110" w:rsidRPr="00821110" w:rsidRDefault="00821110" w:rsidP="00821110">
      <w:pPr>
        <w:widowControl/>
        <w:shd w:val="clear" w:color="auto" w:fill="FFFFFF"/>
        <w:spacing w:before="525" w:afterLines="100" w:after="312" w:line="560" w:lineRule="exact"/>
        <w:jc w:val="center"/>
        <w:rPr>
          <w:rFonts w:ascii="宋体" w:eastAsia="宋体" w:hAnsi="宋体" w:cs="宋体" w:hint="eastAsia"/>
          <w:color w:val="333333"/>
          <w:kern w:val="0"/>
          <w:sz w:val="27"/>
          <w:szCs w:val="27"/>
        </w:rPr>
      </w:pPr>
      <w:r w:rsidRPr="00821110">
        <w:rPr>
          <w:rFonts w:ascii="宋体" w:eastAsia="宋体" w:hAnsi="宋体" w:cs="宋体" w:hint="eastAsia"/>
          <w:b/>
          <w:bCs/>
          <w:color w:val="333333"/>
          <w:kern w:val="0"/>
          <w:sz w:val="32"/>
          <w:szCs w:val="32"/>
        </w:rPr>
        <w:t>第四章　灭火救援</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第四十三条　县级以上地方人民政府应当组织有关部门针对本行政区域内的火灾特点制定应急预案，建立应急反应和处置机制，为火灾扑救和应急救援工作提供人员、装备等保障。</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lastRenderedPageBreak/>
        <w:t>第四十四条　任何人发现火灾都应当立即报警。任何单位、个人都应当无偿为报警提供便利，不得阻拦报警。严禁谎报火警。</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人员密集场所发生火灾，该场所的现场工作人员应当立即组织、引导在场人员疏散。</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任何单位发生火灾，必须立即组织力量扑救。邻近单位应当给予支援。</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消防队接到火警，必须立即赶赴火灾现场，救助遇险人员，排除险情，扑灭火灾。</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第四十五条　消防救援机构统一组织和指挥火灾现场扑救，应当优先保障遇险人员的生命安全。</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火灾现场总指挥根据扑救火灾的需要，有权决定下列事项：</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（一）使用各种水源；</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（二）截断电力、可燃气体和可燃液体的输送，限制用火用电；</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（三）划定警戒区，实行局部交通管制；</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lastRenderedPageBreak/>
        <w:t>（四）利用临近建筑物和有关设施；</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（五）为了抢救人员和重要物资，防止火势蔓延，拆除或者破损毗邻火灾现场的建筑物、构筑物或者设施等；</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（六）调动供水、供电、供气、通信、医疗救护、交通运输、环境保护等有关单位协助灭火救援。</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根据扑救火灾的紧急需要，有关地方人民政府应当组织人员、调集所需物资支援灭火。</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第四十六条　国家综合性消防救援队、专职消防队参加火灾以外的其他重大灾害事故的应急救援工作，由县级以上人民政府统一领导。</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第四十七条　消防车、消防艇前往执行火灾扑救或者应急救援任务，在确保安全的前提下，不受行驶速度、行驶路线、行驶方向和指挥信号的限制，其他车辆、船舶以及行人应当让行，不得穿插超越；收费公路、桥梁免收车辆通行费。交通管理指挥人员应当保证消防车、消防艇迅速通行。</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赶赴火灾现场或者应急救援现场的消防人员和调集的消防装备、物资，需要铁路、水路或者航空运输的，有关单位应当优先运输。</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lastRenderedPageBreak/>
        <w:t>第四十八条　消防车、消防艇以及消防器材、装备和设施，不得用于与消防和应急救援工作无关的事项。</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第四十九条　国家综合性消防救援队、专职消防队扑救火灾、应急救援，不得收取任何费用。</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单位专职消防队、志愿消防队参加扑救外单位火灾所损耗的燃料、灭火剂和器材、装备等，由火灾发生地的人民政府给予补偿。</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第五十条　对因参加扑救火灾或者应急救援受伤、致残或者死亡的人员，按照国家有关规定给予医疗、抚恤。</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第五十一条　消防救援机构有权根据需要封闭火灾现场，负责调查火灾原因，统计火灾损失。</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火灾扑灭后，发生火灾的单位和相关人员应当按照消防救援机构的要求保护现场，接受事故调查，如实提供与火灾有关的情况。</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消防救援机构根据火灾现场勘验、调查情况和有关的检验、鉴定意见，及时制作火灾事故认定书，作为处理火灾事故的证据。</w:t>
      </w:r>
    </w:p>
    <w:p w:rsidR="00821110" w:rsidRPr="00821110" w:rsidRDefault="00821110" w:rsidP="00821110">
      <w:pPr>
        <w:widowControl/>
        <w:shd w:val="clear" w:color="auto" w:fill="FFFFFF"/>
        <w:spacing w:before="525" w:afterLines="100" w:after="312" w:line="560" w:lineRule="exact"/>
        <w:jc w:val="center"/>
        <w:rPr>
          <w:rFonts w:ascii="宋体" w:eastAsia="宋体" w:hAnsi="宋体" w:cs="宋体" w:hint="eastAsia"/>
          <w:color w:val="333333"/>
          <w:kern w:val="0"/>
          <w:sz w:val="27"/>
          <w:szCs w:val="27"/>
        </w:rPr>
      </w:pPr>
      <w:r w:rsidRPr="00821110">
        <w:rPr>
          <w:rFonts w:ascii="宋体" w:eastAsia="宋体" w:hAnsi="宋体" w:cs="宋体" w:hint="eastAsia"/>
          <w:b/>
          <w:bCs/>
          <w:color w:val="333333"/>
          <w:kern w:val="0"/>
          <w:sz w:val="32"/>
          <w:szCs w:val="32"/>
        </w:rPr>
        <w:t>第五章　监督检查</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lastRenderedPageBreak/>
        <w:t>第五十二条　地方各级人民政府应当落实消防工作责任制，对本级人民政府有关部门履行消防安全职责的情况进行监督检查。</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县级以上地方人民政府有关部门应当根据本系统的特点，有针对性地开展消防安全检查，及时督促整改火灾隐患。</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第五十三条　消防救援机构应当对机关、团体、企业、事业等单位遵守消防法律、法规的情况依法进行监督检查。公安派出所可以负责日常消防监督检查、开展消防宣传教育，具体办法由国务院公安部门规定。</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消防救援机构、公安派出所的工作人员进行消防监督检查，应当出示证件。</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第五十四条　消防救援机构在消防监督检查中发现火灾隐患的，应当通知有关单位或者个人立即采取措施消除隐患；不及时消除隐患可能严重威胁公共安全的，消防救援机构应当依照规定对危险部位或者场所采取临时查封措施。</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第五十五条　消防救援机构在消防监督检查中发现</w:t>
      </w:r>
      <w:proofErr w:type="gramStart"/>
      <w:r w:rsidRPr="00821110">
        <w:rPr>
          <w:rFonts w:ascii="宋体" w:eastAsia="宋体" w:hAnsi="宋体" w:cs="宋体" w:hint="eastAsia"/>
          <w:color w:val="333333"/>
          <w:kern w:val="0"/>
          <w:sz w:val="32"/>
          <w:szCs w:val="32"/>
        </w:rPr>
        <w:t>城乡消防</w:t>
      </w:r>
      <w:proofErr w:type="gramEnd"/>
      <w:r w:rsidRPr="00821110">
        <w:rPr>
          <w:rFonts w:ascii="宋体" w:eastAsia="宋体" w:hAnsi="宋体" w:cs="宋体" w:hint="eastAsia"/>
          <w:color w:val="333333"/>
          <w:kern w:val="0"/>
          <w:sz w:val="32"/>
          <w:szCs w:val="32"/>
        </w:rPr>
        <w:t>安全布局、公共消防设施不符合消防安全要求，或者发现本地区存在影响公共安全的重大火灾隐患的，应当由应急管理部门书面报告本级人民政府。</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lastRenderedPageBreak/>
        <w:t>接到报告的人民政府应当及时核实情况，组织或者责成有关部门、单位采取措施，予以整改。</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第五十六条　住房和城乡建设主管部门、消防救援机构及其工作人员应当按照法定的职权和程序进行消防设计审查、消防验收、备案抽查和消防安全检查，做到公正、严格、文明、高效。</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住房和城乡建设主管部门、消防救援机构及其工作人员进行消防设计审查、消防验收、备案抽查和消防安全检查等，不得收取费用，不得利用职务谋取利益；不得利用职务为用户、建设单位指定或者变相指定消防产品的品牌、销售单位或者消防技术服务机构、消防设施施工单位。</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第五十七条　住房和城乡建设主管部门、消防救援机构及其工作人员执行职务，应当自觉接受社会和公民的监督。</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任何单位和个人都有权对住房和城乡建设主管部门、消防救援机构及其工作人员在执法中的违法行为进行检举、控告。收到检举、控告的机关，应当按照职责及时查处。</w:t>
      </w:r>
    </w:p>
    <w:p w:rsidR="00821110" w:rsidRPr="00821110" w:rsidRDefault="00821110" w:rsidP="00821110">
      <w:pPr>
        <w:widowControl/>
        <w:shd w:val="clear" w:color="auto" w:fill="FFFFFF"/>
        <w:spacing w:before="525" w:afterLines="100" w:after="312" w:line="560" w:lineRule="exact"/>
        <w:jc w:val="center"/>
        <w:rPr>
          <w:rFonts w:ascii="宋体" w:eastAsia="宋体" w:hAnsi="宋体" w:cs="宋体" w:hint="eastAsia"/>
          <w:color w:val="333333"/>
          <w:kern w:val="0"/>
          <w:sz w:val="27"/>
          <w:szCs w:val="27"/>
        </w:rPr>
      </w:pPr>
      <w:r w:rsidRPr="00821110">
        <w:rPr>
          <w:rFonts w:ascii="宋体" w:eastAsia="宋体" w:hAnsi="宋体" w:cs="宋体" w:hint="eastAsia"/>
          <w:b/>
          <w:bCs/>
          <w:color w:val="333333"/>
          <w:kern w:val="0"/>
          <w:sz w:val="32"/>
          <w:szCs w:val="32"/>
        </w:rPr>
        <w:t>第六章　法律责任</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第五十八条　违反本法规定，有下列行为之一的，由住房和城乡建设主管部门、消防救援机构按照各自职权责令停</w:t>
      </w:r>
      <w:r w:rsidRPr="00821110">
        <w:rPr>
          <w:rFonts w:ascii="宋体" w:eastAsia="宋体" w:hAnsi="宋体" w:cs="宋体" w:hint="eastAsia"/>
          <w:color w:val="333333"/>
          <w:kern w:val="0"/>
          <w:sz w:val="32"/>
          <w:szCs w:val="32"/>
        </w:rPr>
        <w:lastRenderedPageBreak/>
        <w:t>止施工、停止使用或者停产停业，并处三万元以上三十万元以下罚款：</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（一）依法应当进行消防设计审查的建设工程，未经依法审查或者审查不合格，擅自施工的；</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（二）依法应当进行消防验收的建设工程，未经消防验收或者消防验收不合格，擅自投入使用的；</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（三）本法第十三条规定的其他建设工程验收后经依法抽查不合格，不停止使用的；</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（四）公众聚集场所未经消防安全检查或者经检查不符合消防安全要求，擅自投入使用、营业的。</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建设单位未依照本法规定在验收后报住房和城乡建设主管部门备案的，由住房和城乡建设主管部门责令改正，处五千元以下罚款。</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第五十九条　违反本法规定，有下列行为之一的，由住房和城乡建设主管部门责令改正或者停止施工，并处一万元以上十万元以下罚款：</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（一）建设单位要求建筑设计单位或者建筑施工企业降低消防技术标准设计、施工的；</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lastRenderedPageBreak/>
        <w:t>（二）建筑设计单位不按照消防技术标准强制性要求进行消防设计的；</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（三）建筑施工企业不按照消防设计文件和消防技术标准施工，降低消防施工质量的；</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（四）工程监理单位与建设单位或者建筑施工企业串通，弄虚作假，降低消防施工质量的。</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第六十条　单位违反本法规定，有下列行为之一的，责令改正，处五千元以上五万元以下罚款：</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（一）消防设施、器材或者消防安全标志的配置、设置不符合国家标准、行业标准，或者未保持完好有效的；</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（二）损坏、挪用或者擅自拆除、停用消防设施、器材的；</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（三）占用、堵塞、封闭疏散通道、安全出口或者有其他妨碍安全疏散行为的；</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（四）埋压、圈占、遮挡消火栓或者占用防火间距的；</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（五）占用、堵塞、封闭消防车通道，妨碍消防车通行的；</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lastRenderedPageBreak/>
        <w:t>（六）人员密集场所在门窗上设置影响逃生和灭火救援的障碍物的；</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（七）对火灾隐患经消防救援机构通知后不及时采取措施消除的。</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个人有前款第二项、第三项、第四项、第五项行为之一的，处警告或者五百元以下罚款。</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有本条第一款第三项、第四项、第五项、第六项行为，经责令改正拒不改正的，强制执行，所需费用由违法行为人承担。</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第六十一条　生产、储存、经营易燃易爆危险品的场所与居住场所设置在同一建筑物内，或者未与居住场所保持安全距离的，责令停产停业，并处五千元以上五万元以下罚款。</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生产、储存、经营其他物品的场所与居住场所设置在同一建筑物内，不符合消防技术标准的，依照前款规定处罚。</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第六十二条　有下列行为之一的，依照《中华人民共和国治安管理处罚法》的规定处罚：</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（一）违反有关消防技术标准和管理规定生产、储存、运输、销售、使用、销毁易燃易爆危险品的；</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lastRenderedPageBreak/>
        <w:t>（二）非法携带易燃易爆危险品进入公共场所或者乘坐公共交通工具的；</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（三）谎报火警的；</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（四）阻碍消防车、消防艇执行任务的；</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（五）阻碍消防救援机构的工作人员依法执行职务的。</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第六十三条　违反本法规定，有下列行为之一的，处警告或者五百元以下罚款；情节严重的，处五日以下拘留：</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（一）违反消防安全规定进入生产、储存易燃易爆危险品场所的；</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（二）违反规定使用明火作业或者在具有火灾、爆炸危险的场所吸烟、使用明火的。</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第六十四条　违反本法规定，有下列行为之一，尚不构成犯罪的，处十日以上十五日以下拘留，可以并处五百元以下罚款；情节较轻的，处警告或者五百元以下罚款：</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（一）指使或者强令他人违反消防安全规定，冒险作业的；</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lastRenderedPageBreak/>
        <w:t>（二）过失引起火灾的；</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（三）在火灾发生后阻拦报警，或者负有报告职责的人员不及时报警的；</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（四）扰乱火灾现场秩序，或者拒不执行火灾现场指挥员指挥，影响灭火救援的；</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（五）故意破坏或者伪造火灾现场的；</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（六）擅自拆封或者使用被消防救援机构查封的场所、部位的。</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第六十五条　违反本法规定，生产、销售不合格的消防产品或者国家明令淘汰的消防产品的，由产品质量监督部门或者工商行政管理部门依照《中华人民共和国产品质量法》的规定从重处罚。</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人员密集场所使用不合格的消防产品或者国家明令淘汰的消防产品的，责令限期改正；逾期不改正的，处五千元以上五万元以下罚款，并对其直接负责的主管人员和其他直接责任人员处五百元以上二千元以下罚款；情节严重的，责令停产停业。</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lastRenderedPageBreak/>
        <w:t>消防救援机构对于本条第二款规定的情形，除依法对使用者予以处罚外，应当将发现不合格的消防产品和国家明令淘汰的消防产品的情况通报产品质量监督部门、工商行政管理部门。产品质量监督部门、工商行政管理部门应当对生产者、销售者依法及时查处。</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第六十六条　电器产品、燃气用具的安装、使用及其线路、管路的设计、敷设、维护保养、检测不符合消防技术标准和管理规定的，责令限期改正；逾期不改正的，责令停止使用，可以并处一千元以上五千元以下罚款。</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第六十七条　机关、团体、企业、事业等单位违反本法第十六条、第十七条、第十八条、第二十一条第二款规定的，责令限期改正；逾期不改正的，对其直接负责的主管人员和其他直接责任人员依法给予处分或者给予警告处罚。</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第六十八条　人员密集场所发生火灾，该场所的现场工作人员不履行组织、引导在场人员疏散的义务，情节严重，尚不构成犯罪的，处五日以上十日以下拘留。</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第六十九条　消防产品质量认证、消防设施检测等消防技术服务机构出具虚假文件的，责令改正，处五万元以上十万元以下罚款，并对直接负责的主管人员和其他直接责任人员处一万元以上五万元以下罚款；有违法所得的，并处没收违法所得；给他人造成损失的，依法承担赔偿责任；情节严</w:t>
      </w:r>
      <w:r w:rsidRPr="00821110">
        <w:rPr>
          <w:rFonts w:ascii="宋体" w:eastAsia="宋体" w:hAnsi="宋体" w:cs="宋体" w:hint="eastAsia"/>
          <w:color w:val="333333"/>
          <w:kern w:val="0"/>
          <w:sz w:val="32"/>
          <w:szCs w:val="32"/>
        </w:rPr>
        <w:lastRenderedPageBreak/>
        <w:t>重的，由原许可机关依法责令停止执业或者吊销相应资质、资格。</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前款规定的机构出具失实文件，给他人造成损失的，依法承担赔偿责任；造成重大损失的，由原许可机关依法责令停止执业或者吊销相应资质、资格。</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第七十条　本法规定的行政处罚，除应当由公安机关依照《中华人民共和国治安管理处罚法》的有关规定决定的外，由住房和城乡建设主管部门、消防救援机构按照各自职权决定。</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被责令停止施工、停止使用、停产停业的，应当在整改后向</w:t>
      </w:r>
      <w:proofErr w:type="gramStart"/>
      <w:r w:rsidRPr="00821110">
        <w:rPr>
          <w:rFonts w:ascii="宋体" w:eastAsia="宋体" w:hAnsi="宋体" w:cs="宋体" w:hint="eastAsia"/>
          <w:color w:val="333333"/>
          <w:kern w:val="0"/>
          <w:sz w:val="32"/>
          <w:szCs w:val="32"/>
        </w:rPr>
        <w:t>作出</w:t>
      </w:r>
      <w:proofErr w:type="gramEnd"/>
      <w:r w:rsidRPr="00821110">
        <w:rPr>
          <w:rFonts w:ascii="宋体" w:eastAsia="宋体" w:hAnsi="宋体" w:cs="宋体" w:hint="eastAsia"/>
          <w:color w:val="333333"/>
          <w:kern w:val="0"/>
          <w:sz w:val="32"/>
          <w:szCs w:val="32"/>
        </w:rPr>
        <w:t>决定的部门或者机构报告，经检查合格，方可恢复施工、使用、生产、经营。</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当事人逾期不执行停产停业、停止使用、停止施工决定的，由</w:t>
      </w:r>
      <w:proofErr w:type="gramStart"/>
      <w:r w:rsidRPr="00821110">
        <w:rPr>
          <w:rFonts w:ascii="宋体" w:eastAsia="宋体" w:hAnsi="宋体" w:cs="宋体" w:hint="eastAsia"/>
          <w:color w:val="333333"/>
          <w:kern w:val="0"/>
          <w:sz w:val="32"/>
          <w:szCs w:val="32"/>
        </w:rPr>
        <w:t>作出</w:t>
      </w:r>
      <w:proofErr w:type="gramEnd"/>
      <w:r w:rsidRPr="00821110">
        <w:rPr>
          <w:rFonts w:ascii="宋体" w:eastAsia="宋体" w:hAnsi="宋体" w:cs="宋体" w:hint="eastAsia"/>
          <w:color w:val="333333"/>
          <w:kern w:val="0"/>
          <w:sz w:val="32"/>
          <w:szCs w:val="32"/>
        </w:rPr>
        <w:t>决定的部门或者机构强制执行。</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责令停产停业，对经济和社会生活影响较大的，由住房和城乡建设主管部门或者应急管理部门报请本级人民政府依法决定。</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lastRenderedPageBreak/>
        <w:t>第七十一条　住房和城乡建设主管部门、消防救援机构的工作人员滥用职权、玩忽职守、徇私舞弊，有下列行为之一，尚不构成犯罪的，依法给予处分：</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（一）对不符合消防安全要求的消防设计文件、建设工程、场所准予审查合格、消防验收合格、消防安全检查合格的；</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（二）无故拖延消防设计审查、消防验收、消防安全检查，不在法定期限内履行职责的；</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（三）发现火灾隐患不及时通知有关单位或者个人整改的；</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（四）利用职务为用户、建设单位指定或者变相指定消防产品的品牌、销售单位或者消防技术服务机构、消防设施施工单位的；</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（五）将消防车、消防艇以及消防器材、装备和设施用于与消防和应急救援无关的事项的；</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（六）其他滥用职权、玩忽职守、徇私舞弊的行为。</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lastRenderedPageBreak/>
        <w:t>产品质量监督、工商行政管理等其他有关行政主管部门的工作人员在消防工作中滥用职权、玩忽职守、徇私舞弊，尚不构成犯罪的，依法给予处分。</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第七十二条　违反本法规定，构成犯罪的，依法追究刑事责任。</w:t>
      </w:r>
    </w:p>
    <w:p w:rsidR="00821110" w:rsidRPr="00821110" w:rsidRDefault="00821110" w:rsidP="00821110">
      <w:pPr>
        <w:widowControl/>
        <w:shd w:val="clear" w:color="auto" w:fill="FFFFFF"/>
        <w:spacing w:before="525" w:afterLines="100" w:after="312" w:line="560" w:lineRule="exact"/>
        <w:jc w:val="center"/>
        <w:rPr>
          <w:rFonts w:ascii="宋体" w:eastAsia="宋体" w:hAnsi="宋体" w:cs="宋体" w:hint="eastAsia"/>
          <w:color w:val="333333"/>
          <w:kern w:val="0"/>
          <w:sz w:val="27"/>
          <w:szCs w:val="27"/>
        </w:rPr>
      </w:pPr>
      <w:r w:rsidRPr="00821110">
        <w:rPr>
          <w:rFonts w:ascii="宋体" w:eastAsia="宋体" w:hAnsi="宋体" w:cs="宋体" w:hint="eastAsia"/>
          <w:b/>
          <w:bCs/>
          <w:color w:val="333333"/>
          <w:kern w:val="0"/>
          <w:sz w:val="32"/>
          <w:szCs w:val="32"/>
        </w:rPr>
        <w:t>第七章　附 则</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第七十三条　本法下列用语的含义：</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（一）消防设施，是指火灾自动报警系统、自动灭火系统、消火栓系统、防烟排烟系统以及应急广播和应急照明、安全疏散设施等。</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（二）消防产品，是指专门用于火灾预防、灭火救援和火灾防护、避难、逃生的产品。</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（三）公众聚集场所，是指宾馆、饭店、商场、集贸市场、客运车站候车室、客运码头候船厅、民用机场航站楼、体育场馆、会堂以及公共娱乐场所等。</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（四）人员密集场所，是指公众聚集场所，医院的门诊楼、病房楼，学校的教学楼、图书馆、食堂和集体宿舍，养老院，福利院，托儿所，幼儿园，公共图书馆的阅览室，公</w:t>
      </w:r>
      <w:r w:rsidRPr="00821110">
        <w:rPr>
          <w:rFonts w:ascii="宋体" w:eastAsia="宋体" w:hAnsi="宋体" w:cs="宋体" w:hint="eastAsia"/>
          <w:color w:val="333333"/>
          <w:kern w:val="0"/>
          <w:sz w:val="32"/>
          <w:szCs w:val="32"/>
        </w:rPr>
        <w:lastRenderedPageBreak/>
        <w:t>共展览馆、博物馆的展示厅，劳动密集型企业的生产加工车间和员工集体宿舍，旅游、宗教活动场所等。</w:t>
      </w:r>
    </w:p>
    <w:p w:rsidR="00821110" w:rsidRPr="00821110" w:rsidRDefault="00821110" w:rsidP="00821110">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821110">
        <w:rPr>
          <w:rFonts w:ascii="宋体" w:eastAsia="宋体" w:hAnsi="宋体" w:cs="宋体" w:hint="eastAsia"/>
          <w:color w:val="333333"/>
          <w:kern w:val="0"/>
          <w:sz w:val="32"/>
          <w:szCs w:val="32"/>
        </w:rPr>
        <w:t>第七十四条　本法自2009年5月1日起施行。</w:t>
      </w:r>
    </w:p>
    <w:p w:rsidR="00A21B13" w:rsidRPr="00821110" w:rsidRDefault="00A21B13">
      <w:bookmarkStart w:id="0" w:name="_GoBack"/>
      <w:bookmarkEnd w:id="0"/>
    </w:p>
    <w:sectPr w:rsidR="00A21B13" w:rsidRPr="008211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468" w:rsidRDefault="000C6468" w:rsidP="00821110">
      <w:r>
        <w:separator/>
      </w:r>
    </w:p>
  </w:endnote>
  <w:endnote w:type="continuationSeparator" w:id="0">
    <w:p w:rsidR="000C6468" w:rsidRDefault="000C6468" w:rsidP="00821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468" w:rsidRDefault="000C6468" w:rsidP="00821110">
      <w:r>
        <w:separator/>
      </w:r>
    </w:p>
  </w:footnote>
  <w:footnote w:type="continuationSeparator" w:id="0">
    <w:p w:rsidR="000C6468" w:rsidRDefault="000C6468" w:rsidP="008211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4838"/>
    <w:multiLevelType w:val="multilevel"/>
    <w:tmpl w:val="B2563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8F7"/>
    <w:rsid w:val="000C6468"/>
    <w:rsid w:val="00821110"/>
    <w:rsid w:val="00A048F7"/>
    <w:rsid w:val="00A21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11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1110"/>
    <w:rPr>
      <w:sz w:val="18"/>
      <w:szCs w:val="18"/>
    </w:rPr>
  </w:style>
  <w:style w:type="paragraph" w:styleId="a4">
    <w:name w:val="footer"/>
    <w:basedOn w:val="a"/>
    <w:link w:val="Char0"/>
    <w:uiPriority w:val="99"/>
    <w:unhideWhenUsed/>
    <w:rsid w:val="00821110"/>
    <w:pPr>
      <w:tabs>
        <w:tab w:val="center" w:pos="4153"/>
        <w:tab w:val="right" w:pos="8306"/>
      </w:tabs>
      <w:snapToGrid w:val="0"/>
      <w:jc w:val="left"/>
    </w:pPr>
    <w:rPr>
      <w:sz w:val="18"/>
      <w:szCs w:val="18"/>
    </w:rPr>
  </w:style>
  <w:style w:type="character" w:customStyle="1" w:styleId="Char0">
    <w:name w:val="页脚 Char"/>
    <w:basedOn w:val="a0"/>
    <w:link w:val="a4"/>
    <w:uiPriority w:val="99"/>
    <w:rsid w:val="00821110"/>
    <w:rPr>
      <w:sz w:val="18"/>
      <w:szCs w:val="18"/>
    </w:rPr>
  </w:style>
  <w:style w:type="paragraph" w:styleId="a5">
    <w:name w:val="Balloon Text"/>
    <w:basedOn w:val="a"/>
    <w:link w:val="Char1"/>
    <w:uiPriority w:val="99"/>
    <w:semiHidden/>
    <w:unhideWhenUsed/>
    <w:rsid w:val="00821110"/>
    <w:rPr>
      <w:sz w:val="18"/>
      <w:szCs w:val="18"/>
    </w:rPr>
  </w:style>
  <w:style w:type="character" w:customStyle="1" w:styleId="Char1">
    <w:name w:val="批注框文本 Char"/>
    <w:basedOn w:val="a0"/>
    <w:link w:val="a5"/>
    <w:uiPriority w:val="99"/>
    <w:semiHidden/>
    <w:rsid w:val="0082111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11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1110"/>
    <w:rPr>
      <w:sz w:val="18"/>
      <w:szCs w:val="18"/>
    </w:rPr>
  </w:style>
  <w:style w:type="paragraph" w:styleId="a4">
    <w:name w:val="footer"/>
    <w:basedOn w:val="a"/>
    <w:link w:val="Char0"/>
    <w:uiPriority w:val="99"/>
    <w:unhideWhenUsed/>
    <w:rsid w:val="00821110"/>
    <w:pPr>
      <w:tabs>
        <w:tab w:val="center" w:pos="4153"/>
        <w:tab w:val="right" w:pos="8306"/>
      </w:tabs>
      <w:snapToGrid w:val="0"/>
      <w:jc w:val="left"/>
    </w:pPr>
    <w:rPr>
      <w:sz w:val="18"/>
      <w:szCs w:val="18"/>
    </w:rPr>
  </w:style>
  <w:style w:type="character" w:customStyle="1" w:styleId="Char0">
    <w:name w:val="页脚 Char"/>
    <w:basedOn w:val="a0"/>
    <w:link w:val="a4"/>
    <w:uiPriority w:val="99"/>
    <w:rsid w:val="00821110"/>
    <w:rPr>
      <w:sz w:val="18"/>
      <w:szCs w:val="18"/>
    </w:rPr>
  </w:style>
  <w:style w:type="paragraph" w:styleId="a5">
    <w:name w:val="Balloon Text"/>
    <w:basedOn w:val="a"/>
    <w:link w:val="Char1"/>
    <w:uiPriority w:val="99"/>
    <w:semiHidden/>
    <w:unhideWhenUsed/>
    <w:rsid w:val="00821110"/>
    <w:rPr>
      <w:sz w:val="18"/>
      <w:szCs w:val="18"/>
    </w:rPr>
  </w:style>
  <w:style w:type="character" w:customStyle="1" w:styleId="Char1">
    <w:name w:val="批注框文本 Char"/>
    <w:basedOn w:val="a0"/>
    <w:link w:val="a5"/>
    <w:uiPriority w:val="99"/>
    <w:semiHidden/>
    <w:rsid w:val="008211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041671">
      <w:bodyDiv w:val="1"/>
      <w:marLeft w:val="0"/>
      <w:marRight w:val="0"/>
      <w:marTop w:val="0"/>
      <w:marBottom w:val="0"/>
      <w:divBdr>
        <w:top w:val="none" w:sz="0" w:space="0" w:color="auto"/>
        <w:left w:val="none" w:sz="0" w:space="0" w:color="auto"/>
        <w:bottom w:val="none" w:sz="0" w:space="0" w:color="auto"/>
        <w:right w:val="none" w:sz="0" w:space="0" w:color="auto"/>
      </w:divBdr>
      <w:divsChild>
        <w:div w:id="105545031">
          <w:marLeft w:val="0"/>
          <w:marRight w:val="0"/>
          <w:marTop w:val="0"/>
          <w:marBottom w:val="0"/>
          <w:divBdr>
            <w:top w:val="none" w:sz="0" w:space="0" w:color="auto"/>
            <w:left w:val="none" w:sz="0" w:space="0" w:color="auto"/>
            <w:bottom w:val="none" w:sz="0" w:space="0" w:color="auto"/>
            <w:right w:val="none" w:sz="0" w:space="0" w:color="auto"/>
          </w:divBdr>
          <w:divsChild>
            <w:div w:id="960841973">
              <w:marLeft w:val="0"/>
              <w:marRight w:val="0"/>
              <w:marTop w:val="0"/>
              <w:marBottom w:val="0"/>
              <w:divBdr>
                <w:top w:val="none" w:sz="0" w:space="0" w:color="auto"/>
                <w:left w:val="none" w:sz="0" w:space="0" w:color="auto"/>
                <w:bottom w:val="none" w:sz="0" w:space="0" w:color="auto"/>
                <w:right w:val="none" w:sz="0" w:space="0" w:color="auto"/>
              </w:divBdr>
              <w:divsChild>
                <w:div w:id="386760554">
                  <w:marLeft w:val="0"/>
                  <w:marRight w:val="0"/>
                  <w:marTop w:val="0"/>
                  <w:marBottom w:val="0"/>
                  <w:divBdr>
                    <w:top w:val="none" w:sz="0" w:space="0" w:color="auto"/>
                    <w:left w:val="none" w:sz="0" w:space="0" w:color="auto"/>
                    <w:bottom w:val="none" w:sz="0" w:space="0" w:color="auto"/>
                    <w:right w:val="none" w:sz="0" w:space="0" w:color="auto"/>
                  </w:divBdr>
                  <w:divsChild>
                    <w:div w:id="328287688">
                      <w:marLeft w:val="0"/>
                      <w:marRight w:val="0"/>
                      <w:marTop w:val="795"/>
                      <w:marBottom w:val="0"/>
                      <w:divBdr>
                        <w:top w:val="none" w:sz="0" w:space="0" w:color="auto"/>
                        <w:left w:val="none" w:sz="0" w:space="0" w:color="auto"/>
                        <w:bottom w:val="none" w:sz="0" w:space="0" w:color="auto"/>
                        <w:right w:val="none" w:sz="0" w:space="0" w:color="auto"/>
                      </w:divBdr>
                    </w:div>
                    <w:div w:id="830176283">
                      <w:marLeft w:val="0"/>
                      <w:marRight w:val="0"/>
                      <w:marTop w:val="0"/>
                      <w:marBottom w:val="0"/>
                      <w:divBdr>
                        <w:top w:val="none" w:sz="0" w:space="0" w:color="auto"/>
                        <w:left w:val="none" w:sz="0" w:space="0" w:color="auto"/>
                        <w:bottom w:val="single" w:sz="6" w:space="0" w:color="D8D8D8"/>
                        <w:right w:val="none" w:sz="0" w:space="0" w:color="auto"/>
                      </w:divBdr>
                      <w:divsChild>
                        <w:div w:id="430245605">
                          <w:marLeft w:val="0"/>
                          <w:marRight w:val="0"/>
                          <w:marTop w:val="0"/>
                          <w:marBottom w:val="0"/>
                          <w:divBdr>
                            <w:top w:val="none" w:sz="0" w:space="0" w:color="auto"/>
                            <w:left w:val="none" w:sz="0" w:space="0" w:color="auto"/>
                            <w:bottom w:val="none" w:sz="0" w:space="0" w:color="auto"/>
                            <w:right w:val="none" w:sz="0" w:space="0" w:color="auto"/>
                          </w:divBdr>
                        </w:div>
                        <w:div w:id="1653025920">
                          <w:marLeft w:val="0"/>
                          <w:marRight w:val="0"/>
                          <w:marTop w:val="0"/>
                          <w:marBottom w:val="0"/>
                          <w:divBdr>
                            <w:top w:val="none" w:sz="0" w:space="0" w:color="auto"/>
                            <w:left w:val="none" w:sz="0" w:space="0" w:color="auto"/>
                            <w:bottom w:val="none" w:sz="0" w:space="0" w:color="auto"/>
                            <w:right w:val="none" w:sz="0" w:space="0" w:color="auto"/>
                          </w:divBdr>
                          <w:divsChild>
                            <w:div w:id="89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20058">
                      <w:marLeft w:val="300"/>
                      <w:marRight w:val="300"/>
                      <w:marTop w:val="300"/>
                      <w:marBottom w:val="300"/>
                      <w:divBdr>
                        <w:top w:val="none" w:sz="0" w:space="0" w:color="auto"/>
                        <w:left w:val="none" w:sz="0" w:space="0" w:color="auto"/>
                        <w:bottom w:val="none" w:sz="0" w:space="0" w:color="auto"/>
                        <w:right w:val="none" w:sz="0" w:space="0" w:color="auto"/>
                      </w:divBdr>
                      <w:divsChild>
                        <w:div w:id="83422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avascrip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javascri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30</Pages>
  <Words>1641</Words>
  <Characters>9357</Characters>
  <Application>Microsoft Office Word</Application>
  <DocSecurity>0</DocSecurity>
  <Lines>77</Lines>
  <Paragraphs>21</Paragraphs>
  <ScaleCrop>false</ScaleCrop>
  <Company>Microsoft</Company>
  <LinksUpToDate>false</LinksUpToDate>
  <CharactersWithSpaces>10977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2021-08-18T05:59:00Z</dcterms:created>
  <dcterms:modified xsi:type="dcterms:W3CDTF">2021-08-18T06:18:00Z</dcterms:modified>
</cp:coreProperties>
</file>