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3"/>
        <w:gridCol w:w="2923"/>
      </w:tblGrid>
      <w:tr w:rsidR="000E16FE" w:rsidRPr="000E16FE" w:rsidTr="000E16FE">
        <w:trPr>
          <w:tblCellSpacing w:w="15" w:type="dxa"/>
        </w:trPr>
        <w:tc>
          <w:tcPr>
            <w:tcW w:w="0" w:type="auto"/>
            <w:gridSpan w:val="2"/>
            <w:vAlign w:val="center"/>
            <w:hideMark/>
          </w:tcPr>
          <w:p w:rsidR="000E16FE" w:rsidRPr="000E16FE" w:rsidRDefault="000E16FE" w:rsidP="000E16FE">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0E16FE">
              <w:rPr>
                <w:rFonts w:ascii="微软雅黑" w:eastAsia="微软雅黑" w:hAnsi="微软雅黑" w:cs="宋体" w:hint="eastAsia"/>
                <w:color w:val="333333"/>
                <w:kern w:val="0"/>
                <w:sz w:val="24"/>
                <w:szCs w:val="24"/>
              </w:rPr>
              <w:t>标题：</w:t>
            </w:r>
          </w:p>
          <w:p w:rsidR="000E16FE" w:rsidRPr="000E16FE" w:rsidRDefault="000E16FE" w:rsidP="000E16FE">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0E16FE">
              <w:rPr>
                <w:rFonts w:ascii="微软雅黑" w:eastAsia="微软雅黑" w:hAnsi="微软雅黑" w:cs="宋体" w:hint="eastAsia"/>
                <w:color w:val="333333"/>
                <w:kern w:val="0"/>
                <w:sz w:val="24"/>
                <w:szCs w:val="24"/>
              </w:rPr>
              <w:t>医疗器械监督管理条例</w:t>
            </w:r>
          </w:p>
        </w:tc>
      </w:tr>
      <w:tr w:rsidR="000E16FE" w:rsidRPr="000E16FE" w:rsidTr="000E16FE">
        <w:trPr>
          <w:tblCellSpacing w:w="15" w:type="dxa"/>
        </w:trPr>
        <w:tc>
          <w:tcPr>
            <w:tcW w:w="8130" w:type="dxa"/>
            <w:vAlign w:val="center"/>
            <w:hideMark/>
          </w:tcPr>
          <w:p w:rsidR="000E16FE" w:rsidRPr="000E16FE" w:rsidRDefault="000E16FE" w:rsidP="000E16FE">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0E16FE">
              <w:rPr>
                <w:rFonts w:ascii="微软雅黑" w:eastAsia="微软雅黑" w:hAnsi="微软雅黑" w:cs="宋体" w:hint="eastAsia"/>
                <w:color w:val="333333"/>
                <w:kern w:val="0"/>
                <w:sz w:val="24"/>
                <w:szCs w:val="24"/>
              </w:rPr>
              <w:t>索引号：</w:t>
            </w:r>
          </w:p>
          <w:p w:rsidR="000E16FE" w:rsidRPr="000E16FE" w:rsidRDefault="000E16FE" w:rsidP="000E16FE">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0E16FE">
              <w:rPr>
                <w:rFonts w:ascii="微软雅黑" w:eastAsia="微软雅黑" w:hAnsi="微软雅黑" w:cs="宋体" w:hint="eastAsia"/>
                <w:color w:val="333333"/>
                <w:kern w:val="0"/>
                <w:sz w:val="24"/>
                <w:szCs w:val="24"/>
              </w:rPr>
              <w:t>2021-1616113933706</w:t>
            </w:r>
          </w:p>
        </w:tc>
        <w:tc>
          <w:tcPr>
            <w:tcW w:w="4665" w:type="dxa"/>
            <w:vAlign w:val="center"/>
            <w:hideMark/>
          </w:tcPr>
          <w:p w:rsidR="000E16FE" w:rsidRPr="000E16FE" w:rsidRDefault="000E16FE" w:rsidP="000E16FE">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0E16FE">
              <w:rPr>
                <w:rFonts w:ascii="微软雅黑" w:eastAsia="微软雅黑" w:hAnsi="微软雅黑" w:cs="宋体" w:hint="eastAsia"/>
                <w:color w:val="333333"/>
                <w:kern w:val="0"/>
                <w:sz w:val="24"/>
                <w:szCs w:val="24"/>
              </w:rPr>
              <w:t>主题分类：</w:t>
            </w:r>
          </w:p>
          <w:p w:rsidR="000E16FE" w:rsidRPr="000E16FE" w:rsidRDefault="000E16FE" w:rsidP="000E16FE">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0E16FE">
              <w:rPr>
                <w:rFonts w:ascii="微软雅黑" w:eastAsia="微软雅黑" w:hAnsi="微软雅黑" w:cs="宋体" w:hint="eastAsia"/>
                <w:color w:val="333333"/>
                <w:kern w:val="0"/>
                <w:sz w:val="24"/>
                <w:szCs w:val="24"/>
              </w:rPr>
              <w:t>总局主要执行的行政法规</w:t>
            </w:r>
          </w:p>
        </w:tc>
      </w:tr>
      <w:tr w:rsidR="000E16FE" w:rsidRPr="000E16FE" w:rsidTr="000E16FE">
        <w:trPr>
          <w:tblCellSpacing w:w="15" w:type="dxa"/>
        </w:trPr>
        <w:tc>
          <w:tcPr>
            <w:tcW w:w="8130" w:type="dxa"/>
            <w:vAlign w:val="center"/>
            <w:hideMark/>
          </w:tcPr>
          <w:p w:rsidR="000E16FE" w:rsidRPr="000E16FE" w:rsidRDefault="000E16FE" w:rsidP="000E16FE">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0E16FE">
              <w:rPr>
                <w:rFonts w:ascii="微软雅黑" w:eastAsia="微软雅黑" w:hAnsi="微软雅黑" w:cs="宋体" w:hint="eastAsia"/>
                <w:color w:val="333333"/>
                <w:kern w:val="0"/>
                <w:sz w:val="24"/>
                <w:szCs w:val="24"/>
              </w:rPr>
              <w:t>文号：</w:t>
            </w:r>
          </w:p>
          <w:p w:rsidR="000E16FE" w:rsidRPr="000E16FE" w:rsidRDefault="000E16FE" w:rsidP="000E16FE">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proofErr w:type="gramStart"/>
            <w:r w:rsidRPr="000E16FE">
              <w:rPr>
                <w:rFonts w:ascii="微软雅黑" w:eastAsia="微软雅黑" w:hAnsi="微软雅黑" w:cs="宋体" w:hint="eastAsia"/>
                <w:color w:val="333333"/>
                <w:kern w:val="0"/>
                <w:sz w:val="24"/>
                <w:szCs w:val="24"/>
              </w:rPr>
              <w:t>国令第739号</w:t>
            </w:r>
            <w:proofErr w:type="gramEnd"/>
          </w:p>
        </w:tc>
        <w:tc>
          <w:tcPr>
            <w:tcW w:w="4665" w:type="dxa"/>
            <w:vAlign w:val="center"/>
            <w:hideMark/>
          </w:tcPr>
          <w:p w:rsidR="000E16FE" w:rsidRPr="000E16FE" w:rsidRDefault="000E16FE" w:rsidP="000E16FE">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0E16FE">
              <w:rPr>
                <w:rFonts w:ascii="微软雅黑" w:eastAsia="微软雅黑" w:hAnsi="微软雅黑" w:cs="宋体" w:hint="eastAsia"/>
                <w:color w:val="333333"/>
                <w:kern w:val="0"/>
                <w:sz w:val="24"/>
                <w:szCs w:val="24"/>
              </w:rPr>
              <w:t>公布日期：</w:t>
            </w:r>
          </w:p>
          <w:p w:rsidR="000E16FE" w:rsidRPr="000E16FE" w:rsidRDefault="000E16FE" w:rsidP="000E16FE">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0E16FE">
              <w:rPr>
                <w:rFonts w:ascii="微软雅黑" w:eastAsia="微软雅黑" w:hAnsi="微软雅黑" w:cs="宋体" w:hint="eastAsia"/>
                <w:color w:val="333333"/>
                <w:kern w:val="0"/>
                <w:sz w:val="24"/>
                <w:szCs w:val="24"/>
              </w:rPr>
              <w:t>2020年12月21日</w:t>
            </w:r>
          </w:p>
        </w:tc>
      </w:tr>
      <w:tr w:rsidR="000E16FE" w:rsidRPr="000E16FE" w:rsidTr="000E16FE">
        <w:trPr>
          <w:tblCellSpacing w:w="15" w:type="dxa"/>
          <w:hidden/>
        </w:trPr>
        <w:tc>
          <w:tcPr>
            <w:tcW w:w="8130" w:type="dxa"/>
            <w:vAlign w:val="center"/>
            <w:hideMark/>
          </w:tcPr>
          <w:p w:rsidR="000E16FE" w:rsidRPr="000E16FE" w:rsidRDefault="000E16FE" w:rsidP="000E16FE">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0E16FE">
              <w:rPr>
                <w:rFonts w:ascii="微软雅黑" w:eastAsia="微软雅黑" w:hAnsi="微软雅黑" w:cs="宋体" w:hint="eastAsia"/>
                <w:vanish/>
                <w:color w:val="333333"/>
                <w:kern w:val="0"/>
                <w:sz w:val="24"/>
                <w:szCs w:val="24"/>
              </w:rPr>
              <w:t>成文日期：</w:t>
            </w:r>
          </w:p>
          <w:p w:rsidR="000E16FE" w:rsidRPr="000E16FE" w:rsidRDefault="000E16FE" w:rsidP="000E16FE">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0E16FE">
              <w:rPr>
                <w:rFonts w:ascii="微软雅黑" w:eastAsia="微软雅黑" w:hAnsi="微软雅黑" w:cs="宋体" w:hint="eastAsia"/>
                <w:vanish/>
                <w:color w:val="333333"/>
                <w:kern w:val="0"/>
                <w:sz w:val="24"/>
                <w:szCs w:val="24"/>
              </w:rPr>
              <w:t>2020年12月21日</w:t>
            </w:r>
          </w:p>
        </w:tc>
        <w:tc>
          <w:tcPr>
            <w:tcW w:w="4665" w:type="dxa"/>
            <w:vAlign w:val="center"/>
            <w:hideMark/>
          </w:tcPr>
          <w:p w:rsidR="000E16FE" w:rsidRPr="000E16FE" w:rsidRDefault="000E16FE" w:rsidP="000E16FE">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0E16FE">
              <w:rPr>
                <w:rFonts w:ascii="微软雅黑" w:eastAsia="微软雅黑" w:hAnsi="微软雅黑" w:cs="宋体" w:hint="eastAsia"/>
                <w:vanish/>
                <w:color w:val="333333"/>
                <w:kern w:val="0"/>
                <w:sz w:val="24"/>
                <w:szCs w:val="24"/>
              </w:rPr>
              <w:t>发布日期：</w:t>
            </w:r>
          </w:p>
          <w:p w:rsidR="000E16FE" w:rsidRPr="000E16FE" w:rsidRDefault="000E16FE" w:rsidP="000E16FE">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0E16FE">
              <w:rPr>
                <w:rFonts w:ascii="微软雅黑" w:eastAsia="微软雅黑" w:hAnsi="微软雅黑" w:cs="宋体" w:hint="eastAsia"/>
                <w:vanish/>
                <w:color w:val="333333"/>
                <w:kern w:val="0"/>
                <w:sz w:val="24"/>
                <w:szCs w:val="24"/>
              </w:rPr>
              <w:t>2021年03月19日</w:t>
            </w:r>
          </w:p>
        </w:tc>
      </w:tr>
      <w:tr w:rsidR="000E16FE" w:rsidRPr="000E16FE" w:rsidTr="000E16FE">
        <w:trPr>
          <w:tblCellSpacing w:w="15" w:type="dxa"/>
          <w:hidden/>
        </w:trPr>
        <w:tc>
          <w:tcPr>
            <w:tcW w:w="8130" w:type="dxa"/>
            <w:vAlign w:val="center"/>
            <w:hideMark/>
          </w:tcPr>
          <w:p w:rsidR="000E16FE" w:rsidRPr="000E16FE" w:rsidRDefault="000E16FE" w:rsidP="000E16FE">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0E16FE">
              <w:rPr>
                <w:rFonts w:ascii="微软雅黑" w:eastAsia="微软雅黑" w:hAnsi="微软雅黑" w:cs="宋体" w:hint="eastAsia"/>
                <w:vanish/>
                <w:color w:val="333333"/>
                <w:kern w:val="0"/>
                <w:sz w:val="24"/>
                <w:szCs w:val="24"/>
              </w:rPr>
              <w:t>体裁分类：</w:t>
            </w:r>
          </w:p>
          <w:p w:rsidR="000E16FE" w:rsidRPr="000E16FE" w:rsidRDefault="000E16FE" w:rsidP="000E16FE">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0E16FE">
              <w:rPr>
                <w:rFonts w:ascii="微软雅黑" w:eastAsia="微软雅黑" w:hAnsi="微软雅黑" w:cs="宋体" w:hint="eastAsia"/>
                <w:vanish/>
                <w:color w:val="333333"/>
                <w:kern w:val="0"/>
                <w:sz w:val="24"/>
                <w:szCs w:val="24"/>
              </w:rPr>
              <w:t>无</w:t>
            </w:r>
          </w:p>
        </w:tc>
        <w:tc>
          <w:tcPr>
            <w:tcW w:w="4665" w:type="dxa"/>
            <w:vAlign w:val="center"/>
            <w:hideMark/>
          </w:tcPr>
          <w:p w:rsidR="000E16FE" w:rsidRPr="000E16FE" w:rsidRDefault="000E16FE" w:rsidP="000E16FE">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r w:rsidRPr="000E16FE">
              <w:rPr>
                <w:rFonts w:ascii="微软雅黑" w:eastAsia="微软雅黑" w:hAnsi="微软雅黑" w:cs="宋体" w:hint="eastAsia"/>
                <w:vanish/>
                <w:color w:val="333333"/>
                <w:kern w:val="0"/>
                <w:sz w:val="24"/>
                <w:szCs w:val="24"/>
              </w:rPr>
              <w:t>公文种类：</w:t>
            </w:r>
          </w:p>
          <w:p w:rsidR="000E16FE" w:rsidRPr="000E16FE" w:rsidRDefault="000E16FE" w:rsidP="000E16FE">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p>
        </w:tc>
      </w:tr>
    </w:tbl>
    <w:p w:rsidR="000E16FE" w:rsidRPr="000E16FE" w:rsidRDefault="000E16FE" w:rsidP="000E16FE">
      <w:pPr>
        <w:widowControl/>
        <w:shd w:val="clear" w:color="auto" w:fill="FFFFFF"/>
        <w:spacing w:before="100" w:beforeAutospacing="1" w:after="100" w:afterAutospacing="1" w:line="480" w:lineRule="auto"/>
        <w:jc w:val="center"/>
        <w:rPr>
          <w:rFonts w:ascii="宋体" w:eastAsia="宋体" w:hAnsi="宋体" w:cs="宋体"/>
          <w:color w:val="333333"/>
          <w:kern w:val="0"/>
          <w:szCs w:val="21"/>
        </w:rPr>
      </w:pPr>
      <w:r w:rsidRPr="000E16FE">
        <w:rPr>
          <w:rFonts w:ascii="黑体" w:eastAsia="黑体" w:hAnsi="黑体" w:cs="宋体" w:hint="eastAsia"/>
          <w:b/>
          <w:bCs/>
          <w:color w:val="333333"/>
          <w:kern w:val="0"/>
          <w:sz w:val="36"/>
          <w:szCs w:val="36"/>
        </w:rPr>
        <w:t>医疗器械监督管理条例</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0E16FE">
        <w:rPr>
          <w:rFonts w:ascii="楷体" w:eastAsia="楷体" w:hAnsi="楷体" w:cs="宋体" w:hint="eastAsia"/>
          <w:b/>
          <w:bCs/>
          <w:color w:val="333333"/>
          <w:kern w:val="0"/>
          <w:sz w:val="27"/>
          <w:szCs w:val="27"/>
        </w:rPr>
        <w:t xml:space="preserve">　　(2000年1月4日中华人民共和国国务院令第276号公布　2014年2月12日国务院第39次常务会议修订通过　根据2017年5月4日《国务院关于修改〈医疗器械监督管理条例〉的决定》修订　2020年12月21日国务院第119次常务会议修订通过)</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0E16FE">
        <w:rPr>
          <w:rFonts w:ascii="黑体" w:eastAsia="黑体" w:hAnsi="黑体" w:cs="宋体" w:hint="eastAsia"/>
          <w:b/>
          <w:bCs/>
          <w:color w:val="333333"/>
          <w:kern w:val="0"/>
          <w:sz w:val="27"/>
          <w:szCs w:val="27"/>
        </w:rPr>
        <w:t>第一章　总　　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第一条　为了保证医疗器械的安全、有效，保障人体健康和生命安全，促进医疗器械产业发展，制定本条例。</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第二条　在中华人民共和国境内从事医疗器械的研制、生产、经营、使用活动及其监督管理，适用本条例。</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第三条　国务院药品监督管理部门负责全国医疗器械监督管理工作。</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国务院有关部门在各自的职责范围内负责与医疗器械有关的监督管理工作。</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第四条　县级以上地方人民政府应当加强对本行政区域的医疗器械监督管理工作的领导，组织协调本行政区域内的医疗器械监督管理工作以及突发事件应对工作，加强医疗器械监督管理能力建设，为医疗器械安全工作提供保障。</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县级以上地方人民政府负责药品监督管理的部门负责本行政区域的医疗器械监督管理工作。县级以上地方人民政府有关部门在各自的职责范围内负责与医疗器械有关的监督管理工作。</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第五条　医疗器械监督管理遵循风险管理、全程管控、科学监管、社会共治的原则。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第六条　国家对医疗器械按照风险程度实行分类管理。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第一类是风险程度低，实行常规管理可以保证其安全、有效的医疗器械。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第二类是具有中度风险，需要严格控制管理以保证其安全、有效的医疗器械。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第三类是具有较高风险，需要采取特别措施严格控制管理以保证其安全、有效的医疗器械。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评价医疗器械风险程度，应当考虑医疗器械的预期目的、结构特征、使用方法等因素。</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国务院药品监督管理部门负责制定医疗器械的分类规则和分类目录，并根据医疗器械生产、经营、使用情况，及时对医疗器械的风险变化进行分析、评价，对分类规则和分类目录进行调整。制定、调整分类规则和分类目录，应当充分听取医疗器械注册人、备案人、生产经营企业以及使用单位、行业组织的意见，并参考国际医疗器械分类实践。医疗器械分类规则和分类目录应当向社会公布。</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第七条　医疗器械产品应当符合医疗器械强制性国家标准；尚无强制性国家标准的，应当符合医疗器械强制性行业标准。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第八条　国家制定医疗器械产业规划和政策，将医疗器械创新纳入发展重点，对创新医疗器械予以优先审评审批，支持创新医疗器械临床推广和使用，推动医疗器械产业高质量发展。国务院药品监督管理部门应当配合国务院有关部门，贯彻实施国家医疗器械产业规划和引导政策。</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第九条　国家完善医疗器械创新体系，支持医疗器械的基础研究和应用研究，促进医疗器械新技术的推广和应用，在科技立项、融资、信贷、招标采购、医疗保险等方面予以支持。支持企业设立或者联合组建研制机构，鼓励企业与高等学校、科研院所、医疗机构等合作开展医疗器械的研究与创新，加强医疗器械知识产权保护，提高医疗器械自主创新能力。</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第十条　国家加强医疗器械监督管理信息化建设，提高在线政务服务水平，为医疗器械行政许可、备案等提供便利。</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第十一条　医疗器械行业组织应当加强行业自律，推进诚信体系建设，督促企业依法开展生产经营活动，引导企业诚实守信。</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第十二条　对在医疗器械的研究与创新方面做出突出贡献的单位和个人，按照国家有关规定给予表彰奖励。</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0E16FE">
        <w:rPr>
          <w:rFonts w:ascii="黑体" w:eastAsia="黑体" w:hAnsi="黑体" w:cs="宋体" w:hint="eastAsia"/>
          <w:b/>
          <w:bCs/>
          <w:color w:val="333333"/>
          <w:kern w:val="0"/>
          <w:sz w:val="27"/>
          <w:szCs w:val="27"/>
        </w:rPr>
        <w:t>第二章　医疗器械产品注册与备案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第十三条　第一类医疗器械实行产品备案管理，第二类、第三类医疗器械实行产品注册管理。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医疗器械注册人、备案人应当加强医疗器械全生命周期质量管理，对研制、生产、经营、使用全过程中医疗器械的安全性、有效性依法承担责任。</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第十四条　第一类医疗器械产品备案和申请第二类、第三类医疗器械产品注册，应当提交下列资料：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（一）产品风险分析资料；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（二）产品技术要求；</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（三）产品检验报告；</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（四）临床评价资料；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（五）产品说明书以及标签样稿；</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（六）与产品研制、生产有关的质量管理体系文件；</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（七）证明产品安全、有效所需的其他资料。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产品检验报告应当符合国务院药品监督管理部门的要求，可以是医疗器械注册申请人、备案人的自检报告，也可以是委托有资质的医疗器械检验机构出具的检验报告。</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符合本条例第二十四条规定的免于进行临床评价情形的，可以免于提交临床评价资料。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医疗器械注册申请人、备案人应当确保提交的资料合法、真实、准确、完整和</w:t>
      </w:r>
      <w:proofErr w:type="gramStart"/>
      <w:r w:rsidRPr="000E16FE">
        <w:rPr>
          <w:rFonts w:ascii="宋体" w:eastAsia="宋体" w:hAnsi="宋体" w:cs="宋体" w:hint="eastAsia"/>
          <w:color w:val="333333"/>
          <w:kern w:val="0"/>
          <w:sz w:val="24"/>
          <w:szCs w:val="24"/>
        </w:rPr>
        <w:t>可</w:t>
      </w:r>
      <w:proofErr w:type="gramEnd"/>
      <w:r w:rsidRPr="000E16FE">
        <w:rPr>
          <w:rFonts w:ascii="宋体" w:eastAsia="宋体" w:hAnsi="宋体" w:cs="宋体" w:hint="eastAsia"/>
          <w:color w:val="333333"/>
          <w:kern w:val="0"/>
          <w:sz w:val="24"/>
          <w:szCs w:val="24"/>
        </w:rPr>
        <w:t>追溯。</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第十五条　第一类医疗器械产品备案，由备案人向所在地设区的市级人民政府负责药品监督管理的部门提交备案资料。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向我国境内出口第一类医疗器械的境外备案人，由其指定的我国境内企业法人向国务院药品监督管理部门提交备案资料和备案人所在国（地区）主管部门准许该医疗器械上市销售的证明文件。未在境外上市的创新医疗器械，可以不提交备案人所在国（地区）主管部门准许该医疗器械上市销售的证明文件。</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备案人向负责药品监督管理的部门提交符合本条例规定的备案资料后即完成备案。负责药品监督管理的部门应当自收到备案资料之日起5个工作日内，通过国务院药品监督管理部门在线政务服务平台向社会公布备案有关信息。</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备案资料载明的事项发生变化的，应当向原备案部门变更备案。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第十六条　申请第二类医疗器械产品注册，注册申请人应当向所在地省、自治区、直辖市人民政府药品监督管理部门提交注册申请资料。申请第三类医疗器械产品注册，注册申请人应当向国务院药品监督管理部门提交注册申请资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向我国境内出口第二类、第三类医疗器械的境外注册申请人，由其指定的我国境内企业法人向国务院药品监督管理部门提交注册申请资料和注册申请人所在国（地区）主管部门准许该医疗器械上市销售的证明文件。未在境外上市的创新医疗器械，可以不提交注册申请人所在国（地区）主管部门准许该医疗器械上市销售的证明文件。</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国务院药品监督管理部门应当对医疗器械注册审查程序和要求</w:t>
      </w:r>
      <w:proofErr w:type="gramStart"/>
      <w:r w:rsidRPr="000E16FE">
        <w:rPr>
          <w:rFonts w:ascii="宋体" w:eastAsia="宋体" w:hAnsi="宋体" w:cs="宋体" w:hint="eastAsia"/>
          <w:color w:val="333333"/>
          <w:kern w:val="0"/>
          <w:sz w:val="24"/>
          <w:szCs w:val="24"/>
        </w:rPr>
        <w:t>作出</w:t>
      </w:r>
      <w:proofErr w:type="gramEnd"/>
      <w:r w:rsidRPr="000E16FE">
        <w:rPr>
          <w:rFonts w:ascii="宋体" w:eastAsia="宋体" w:hAnsi="宋体" w:cs="宋体" w:hint="eastAsia"/>
          <w:color w:val="333333"/>
          <w:kern w:val="0"/>
          <w:sz w:val="24"/>
          <w:szCs w:val="24"/>
        </w:rPr>
        <w:t>规定，并加强对省、自治区、直辖市人民政府药品监督管理部门注册审查工作的监督指导。</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第十七条　受理注册申请的药品监督管理部门应当对医疗器械的安全性、有效性以及注册申请人保证医疗器械安全、有效的质量管理能力等进行审查。</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受理注册申请的药品监督管理部门应当自受理注册申请之日起3个工作日内将注册申请资料转交技术审评机构。技术审评机构应当在完成技术审评后，将审评意见提交受理注册申请的药品监督管理部门作为审批的依据。</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受理注册申请的药品监督管理部门在组织对医疗器械的技术审评时认为有必要对质量管理体系进行核查的，应当组织开展质量管理体系核查。</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第十八条　受理注册申请的药品监督管理部门应当自收到审评意见之日起20个工作日内</w:t>
      </w:r>
      <w:proofErr w:type="gramStart"/>
      <w:r w:rsidRPr="000E16FE">
        <w:rPr>
          <w:rFonts w:ascii="宋体" w:eastAsia="宋体" w:hAnsi="宋体" w:cs="宋体" w:hint="eastAsia"/>
          <w:color w:val="333333"/>
          <w:kern w:val="0"/>
          <w:sz w:val="24"/>
          <w:szCs w:val="24"/>
        </w:rPr>
        <w:t>作出</w:t>
      </w:r>
      <w:proofErr w:type="gramEnd"/>
      <w:r w:rsidRPr="000E16FE">
        <w:rPr>
          <w:rFonts w:ascii="宋体" w:eastAsia="宋体" w:hAnsi="宋体" w:cs="宋体" w:hint="eastAsia"/>
          <w:color w:val="333333"/>
          <w:kern w:val="0"/>
          <w:sz w:val="24"/>
          <w:szCs w:val="24"/>
        </w:rPr>
        <w:t>决定。对符合条件的，准予注册并发给医疗器械注册证；对不符合条件的，不予注册并书面说明理由。</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受理注册申请的药品监督管理部门应当</w:t>
      </w:r>
      <w:proofErr w:type="gramStart"/>
      <w:r w:rsidRPr="000E16FE">
        <w:rPr>
          <w:rFonts w:ascii="宋体" w:eastAsia="宋体" w:hAnsi="宋体" w:cs="宋体" w:hint="eastAsia"/>
          <w:color w:val="333333"/>
          <w:kern w:val="0"/>
          <w:sz w:val="24"/>
          <w:szCs w:val="24"/>
        </w:rPr>
        <w:t>自医疗</w:t>
      </w:r>
      <w:proofErr w:type="gramEnd"/>
      <w:r w:rsidRPr="000E16FE">
        <w:rPr>
          <w:rFonts w:ascii="宋体" w:eastAsia="宋体" w:hAnsi="宋体" w:cs="宋体" w:hint="eastAsia"/>
          <w:color w:val="333333"/>
          <w:kern w:val="0"/>
          <w:sz w:val="24"/>
          <w:szCs w:val="24"/>
        </w:rPr>
        <w:t>器械准予注册之日起5个工作日内，通过国务院药品监督管理部门在线政务服务平台向社会公布注册有关信息。</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第十九条　对用于治疗罕见疾病、严重危及生命且尚无有效治疗手段的疾病和应对公共卫生事件等急需的医疗器械，受理注册申请的药品监督管理部门可以</w:t>
      </w:r>
      <w:proofErr w:type="gramStart"/>
      <w:r w:rsidRPr="000E16FE">
        <w:rPr>
          <w:rFonts w:ascii="宋体" w:eastAsia="宋体" w:hAnsi="宋体" w:cs="宋体" w:hint="eastAsia"/>
          <w:color w:val="333333"/>
          <w:kern w:val="0"/>
          <w:sz w:val="24"/>
          <w:szCs w:val="24"/>
        </w:rPr>
        <w:t>作出</w:t>
      </w:r>
      <w:proofErr w:type="gramEnd"/>
      <w:r w:rsidRPr="000E16FE">
        <w:rPr>
          <w:rFonts w:ascii="宋体" w:eastAsia="宋体" w:hAnsi="宋体" w:cs="宋体" w:hint="eastAsia"/>
          <w:color w:val="333333"/>
          <w:kern w:val="0"/>
          <w:sz w:val="24"/>
          <w:szCs w:val="24"/>
        </w:rPr>
        <w:t>附条件批准决定，并在医疗器械注册证中载明相关事项。</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出现特别重大突发公共卫生事件或者其他严重威胁公众健康的紧急事件，国务院卫生主管部门根据预防、控制事件的需要提出紧急使用医疗器械的建议，经国务院药品监督管理部门组织论证同意后可以在一定范围和期限内紧急使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第二十条　医疗器械注册人、备案人应当履行下列义务：</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（一）建立与产品相适应的质量管理体系并保持有效运行；</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（二）制定上市后研究和风险管</w:t>
      </w:r>
      <w:proofErr w:type="gramStart"/>
      <w:r w:rsidRPr="000E16FE">
        <w:rPr>
          <w:rFonts w:ascii="宋体" w:eastAsia="宋体" w:hAnsi="宋体" w:cs="宋体" w:hint="eastAsia"/>
          <w:color w:val="333333"/>
          <w:kern w:val="0"/>
          <w:sz w:val="24"/>
          <w:szCs w:val="24"/>
        </w:rPr>
        <w:t>控计划</w:t>
      </w:r>
      <w:proofErr w:type="gramEnd"/>
      <w:r w:rsidRPr="000E16FE">
        <w:rPr>
          <w:rFonts w:ascii="宋体" w:eastAsia="宋体" w:hAnsi="宋体" w:cs="宋体" w:hint="eastAsia"/>
          <w:color w:val="333333"/>
          <w:kern w:val="0"/>
          <w:sz w:val="24"/>
          <w:szCs w:val="24"/>
        </w:rPr>
        <w:t>并保证有效实施；</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（三）依法开展不良事件监测和再评价；</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（四）建立并执行产品追溯和召回制度；</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（五）国务院药品监督管理部门规定的其他义务。</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境外医疗器械注册人、备案人指定的我国境内企业法人应当协助注册人、备案人履行前款规定的义务。</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第二十一条　已注册的第二类、第三类医疗器械产品，其设计、原材料、生产工艺、适用范围、使用方法等发生实质性变化，有可能影响该医疗器械安全、有效的，注册人应当向原注册部门申请办理变更注册手续；发生其他变化的，应当按照国务院药品监督管理部门的规定备案或者报告。</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第二十二条　医疗器械注册证有效期为5年。有效期届满需要延续注册的，应当在有效期届满6个月前向原注册部门提出延续注册的申请。</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除有本条第三款规定情形外，接到延续注册申请的药品监督管理部门应当在医疗器械注册证有效期届满前作出准予延续的决定。逾期未作决定的，视为准予延续。</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有下列情形之一的，不予延续注册：</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（一）未在规定期限内提出延续注册申请；</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（二）医疗器械强制性标准已经修订，申请延续注册的医疗器械不能达到新要求；</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（三）附条件批准的医疗器械，未在规定期限内完成医疗器械注册证载明事项。</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第二十三条　对新研制的尚未列入分类目录的医疗器械，申请人可以依照本条例有关第三类医疗器械产品注册的规定直接申请产品注册，也可以依据分类规则判断产品类别并向国务院药品监督管理部门申请类别确认后依照本条例的规定申请产品注册或者进行产品备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直接申请第三类医疗器械产品注册的，国务院药品监督管理部门应当按照风险程度确定类别，对准予注册的医疗器械及时纳入分类目录。申请类别确认的，国务院药品监督管理部门应当自受理申请之日起20个工作日内对该医疗器械的类别进行判定并告知申请人。</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第二十四条　医疗器械产品注册、备案，应当进行临床评价；但是符合下列情形之一，可以免于进行临床评价：</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（一）工作机理明确、设计定型，生产工艺成熟，已上市的同品种医疗器械临床应用多年且无严重不良事件记录，不改变常规用途的；</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（二）其他通过非临床评价能够证明该医疗器械安全、有效的。</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国务院药品监督管理部门应当制定医疗器械临床评价指南。</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第二十五条　进行医疗器械临床评价，可以根据产品特征、临床风险、已有临床数据等情形，通过开展临床试验，或者通过对同品种医疗器械临床文献资料、临床数据进行分析评价，证明医疗器械安全、有效。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按照国务院药品监督管理部门的规定，进行医疗器械临床评价时，已有临床文献资料、临床数据不足以确认产品安全、有效的医疗器械，应当开展临床试验。</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第二十六条　开展医疗器械临床试验，应当按照医疗器械临床试验质量管理规范的要求，在具备相应条件的临床试验机构进行，并向临床试验申办者所在地省、自治区、直辖市人民政府药品监督管理部门备案。接受临床试验备案的药品监督管理部门应当将备案情况通报临床试验机构所在地同级药品监督管理部门和卫生主管部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医疗器械临床试验机构实行备案管理。医疗器械临床试验机构应当具备的条件以及备案管理办法和临床试验质量管理规范，由国务院药品监督管理部门会同国务院卫生主管部门制定并公布。</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国家支持医疗机构开展临床试验，将临床试验条件和能力评价纳入医疗机构等级评审，鼓励医疗机构开展创新医疗器械临床试验。</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第二十七条　第三类医疗器械临床试验对人体具有较高风险的，应当经国务院药品监督管理部门批准。国务院药品监督管理部门审批临床试验，应当对拟承担医疗器械临床试验的机构的设备、专业人员等条件，该医疗器械的风险程度，临床试验实施方案，临床受益与风险对比分析报告等进行综合分析，并自受理申请之日起60个工作日内</w:t>
      </w:r>
      <w:proofErr w:type="gramStart"/>
      <w:r w:rsidRPr="000E16FE">
        <w:rPr>
          <w:rFonts w:ascii="宋体" w:eastAsia="宋体" w:hAnsi="宋体" w:cs="宋体" w:hint="eastAsia"/>
          <w:color w:val="333333"/>
          <w:kern w:val="0"/>
          <w:sz w:val="24"/>
          <w:szCs w:val="24"/>
        </w:rPr>
        <w:t>作出</w:t>
      </w:r>
      <w:proofErr w:type="gramEnd"/>
      <w:r w:rsidRPr="000E16FE">
        <w:rPr>
          <w:rFonts w:ascii="宋体" w:eastAsia="宋体" w:hAnsi="宋体" w:cs="宋体" w:hint="eastAsia"/>
          <w:color w:val="333333"/>
          <w:kern w:val="0"/>
          <w:sz w:val="24"/>
          <w:szCs w:val="24"/>
        </w:rPr>
        <w:t>决定并通知临床试验申办者。逾期未通知的，视为同意。准予开展临床试验的，应当通报临床试验机构所在地省、自治区、直辖市人民政府药品监督管理部门和卫生主管部门。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临床试验对人体具有较高风险的第三类医疗器械目录由国务院药品监督管理部门制定、调整并公布。</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第二十八条　开展医疗器械临床试验，应当按照规定进行伦理审查，向受试者告知试验目的、用途和可能产生的风险等详细情况，获得受试者的书面知情同意；受试者为无民事行为能力人或者限制民事行为能力人的，应当依法获得其监护人的书面知情同意。</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开展临床试验，不得以任何形式向受试者收取与临床试验有关的费用。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第二十九条　对正在开展临床试验的用于治疗严重危及生命且尚无有效治疗手段的疾病的医疗器械，经医学观察可能使患者获益，经伦理审查、知情同意后，可以在开展医疗器械临床试验的机构内免费用于其他病情相同的患者，其安全性数据可以用于医疗器械注册申请。</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0E16FE">
        <w:rPr>
          <w:rFonts w:ascii="黑体" w:eastAsia="黑体" w:hAnsi="黑体" w:cs="宋体" w:hint="eastAsia"/>
          <w:b/>
          <w:bCs/>
          <w:color w:val="333333"/>
          <w:kern w:val="0"/>
          <w:sz w:val="27"/>
          <w:szCs w:val="27"/>
        </w:rPr>
        <w:t>第三章　医疗器械生产</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第三十条　从事医疗器械生产活动，应当具备下列条件：</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（一）有与生产的医疗器械相适应的生产场地、环境条件、生产设备以及专业技术人员；</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（二）有能对生产的医疗器械进行质量检验的机构或者专职检验人员以及检验设备；</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（三）有保证医疗器械质量的管理制度；</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（四）有与生产的医疗器械相适应的售后服务能力；</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（五）符合产品研制、生产工艺文件规定的要求。</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第三十一条　从事第一类医疗器械生产的，应当向所在地设区的市级人民政府负责药品监督管理的部门备案，在提交符合本条例第三十条规定条件的有关资料后即完成备案。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医疗器械备案人自行生产第一类医疗器械的，可以在依照本条例第十五条规定进行产品备案时一并提交符合本条例第三十条规定条件的有关资料，即完成生产备案。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第三十二条　从事第二类、第三类医疗器械生产的，应当向所在地省、自治区、直辖市人民政府药品监督管理部门申请生产许可并提交其符合本条例第三十条规定条件的有关资料以及所生产医疗器械的注册证。</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受理生产许可申请的药品监督管理部门应当对申请资料进行审核，按照国务院药品监督管理部门制定的医疗器械生产质量管理规范的要求进行核查，并自受理申请之日起20个工作日内</w:t>
      </w:r>
      <w:proofErr w:type="gramStart"/>
      <w:r w:rsidRPr="000E16FE">
        <w:rPr>
          <w:rFonts w:ascii="宋体" w:eastAsia="宋体" w:hAnsi="宋体" w:cs="宋体" w:hint="eastAsia"/>
          <w:color w:val="333333"/>
          <w:kern w:val="0"/>
          <w:sz w:val="24"/>
          <w:szCs w:val="24"/>
        </w:rPr>
        <w:t>作出</w:t>
      </w:r>
      <w:proofErr w:type="gramEnd"/>
      <w:r w:rsidRPr="000E16FE">
        <w:rPr>
          <w:rFonts w:ascii="宋体" w:eastAsia="宋体" w:hAnsi="宋体" w:cs="宋体" w:hint="eastAsia"/>
          <w:color w:val="333333"/>
          <w:kern w:val="0"/>
          <w:sz w:val="24"/>
          <w:szCs w:val="24"/>
        </w:rPr>
        <w:t>决定。对符合规定条件的，准予许可并发给医疗器械生产许可证；对不符合规定条件的，不予许可并书面说明理由。</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医疗器械生产许可证有效期为5年。有效期届满需要延续的，依照有关行政许可的法律规定办理延续手续。</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第三十三条　医疗器械生产质量管理规范应当对医疗器械的设计开发、生产设备条件、原材料采购、生产过程控制、产品放行、企业的机构设置和人员配备等影响医疗器械安全、有效的事项</w:t>
      </w:r>
      <w:proofErr w:type="gramStart"/>
      <w:r w:rsidRPr="000E16FE">
        <w:rPr>
          <w:rFonts w:ascii="宋体" w:eastAsia="宋体" w:hAnsi="宋体" w:cs="宋体" w:hint="eastAsia"/>
          <w:color w:val="333333"/>
          <w:kern w:val="0"/>
          <w:sz w:val="24"/>
          <w:szCs w:val="24"/>
        </w:rPr>
        <w:t>作出</w:t>
      </w:r>
      <w:proofErr w:type="gramEnd"/>
      <w:r w:rsidRPr="000E16FE">
        <w:rPr>
          <w:rFonts w:ascii="宋体" w:eastAsia="宋体" w:hAnsi="宋体" w:cs="宋体" w:hint="eastAsia"/>
          <w:color w:val="333333"/>
          <w:kern w:val="0"/>
          <w:sz w:val="24"/>
          <w:szCs w:val="24"/>
        </w:rPr>
        <w:t>明确规定。</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第三十四条　医疗器械注册人、备案人可以自行生产医疗器械，也可以委托符合本条例规定、具备相应条件的企业生产医疗器械。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委托生产医疗器械的，医疗器械注册人、备案人应当对所委托生产的医疗器械质量负责，并加强对受托生产企业生产行为的管理，保证其按照法定要求进行生产。医疗器械注册人、备案人应当与受托生产企业签订委托协议，明确双方权利、义务和责任。受托生产企业应当依照法律法规、医疗器械生产质量管理规范、强制性标准、产品技术要求和委托协议组织生产，对生产行为负责，并接受委托方的监督。</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具有高风险的植入性医疗器械不得委托生产，具体目录由国务院药品监督管理部门制定、调整并公布。</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第三十五条　医疗器械注册人、备案人、受托生产企业应当按照医疗器械生产质量管理规范，建立健全与所生产医疗器械相适应的质量管理体系并保证其有效运行；严格按照经注册或者备案的产品技术要求组织生产，保证出厂的医疗器械符合强制性标准以及经注册或者备案的产品技术要求。</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医疗器械注册人、备案人、受托生产企业应当定期对质量管理体系的运行情况进行自查，并按照国务院药品监督管理部门的规定提交自查报告。</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第三十六条　医疗器械的生产条件发生变化，不再符合医疗器械质量管理体系要求的，医疗器械注册人、备案人、受托生产企业应当立即采取整改措施；可能影响医疗器械安全、有效的，应当立即停止生产活动，并向原生产许可或者生产备案部门报告。</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第三十七条　医疗器械应当使用通用名称。通用名称应当符合国务院药品监督管理部门制定的医疗器械命名规则。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第三十八条　国家根据医疗器械产品类别，分步实施医疗器械唯一标识制度，实现医疗器械可追溯，具体办法由国务院药品监督管理部门会同国务院有关部门制定。</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第三十九条　医疗器械应当有说明书、标签。说明书、标签的内容应当与经注册或者备案的相关内容一致，确保真实、准确。</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医疗器械的说明书、标签应当标明下列事项：</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（一）通用名称、型号、规格；</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（二）医疗器械注册人、备案人、受托生产企业的名称、地址以及联系方式；</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（三）生产日期，使用期限或者失效日期；</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（四）产品性能、主要结构、适用范围；</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（五）禁忌、注意事项以及其他需要警示或者提示的内容；</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（六）安装和使用说明或者图示；</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（七）维护和保养方法，特殊运输、贮存的条件、方法；</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（八）产品技术要求规定应当标明的其他内容。</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第二类、第三类医疗器械还应当标明医疗器械注册证编号。</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由消费者个人自行使用的医疗器械还应当具有安全使用的特别说明。</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0E16FE">
        <w:rPr>
          <w:rFonts w:ascii="黑体" w:eastAsia="黑体" w:hAnsi="黑体" w:cs="宋体" w:hint="eastAsia"/>
          <w:b/>
          <w:bCs/>
          <w:color w:val="333333"/>
          <w:kern w:val="0"/>
          <w:sz w:val="27"/>
          <w:szCs w:val="27"/>
        </w:rPr>
        <w:t>第四章　医疗器械经营与使用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第四十条　从事医疗器械经营活动，应当有与经营规模和经营范围相适应的经营场所和贮存条件，以及与经营的医疗器械相适应的质量管理制度和质量管理机构或者人员。</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第四十一条　从事第二类医疗器械经营的，由经营企业向所在地设区的市级人民政府负责药品监督管理的部门备案并提交符合本条例第四十条规定条件的有关资料。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按照国务院药品监督管理部门的规定，对产品安全性、有效性不受流通过程影响的第二类医疗器械，可以免于经营备案。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第四十二条　从事第三类医疗器械经营的，经营企业应当向所在地设区的市级人民政府负责药品监督管理的部门申请经营许可并提交符合本条例第四十条规定条件的有关资料。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受理经营许可申请的负责药品监督管理的部门应当对申请资料进行审查，必要时组织核查，并自受理申请之日起20个工作日内</w:t>
      </w:r>
      <w:proofErr w:type="gramStart"/>
      <w:r w:rsidRPr="000E16FE">
        <w:rPr>
          <w:rFonts w:ascii="宋体" w:eastAsia="宋体" w:hAnsi="宋体" w:cs="宋体" w:hint="eastAsia"/>
          <w:color w:val="333333"/>
          <w:kern w:val="0"/>
          <w:sz w:val="24"/>
          <w:szCs w:val="24"/>
        </w:rPr>
        <w:t>作出</w:t>
      </w:r>
      <w:proofErr w:type="gramEnd"/>
      <w:r w:rsidRPr="000E16FE">
        <w:rPr>
          <w:rFonts w:ascii="宋体" w:eastAsia="宋体" w:hAnsi="宋体" w:cs="宋体" w:hint="eastAsia"/>
          <w:color w:val="333333"/>
          <w:kern w:val="0"/>
          <w:sz w:val="24"/>
          <w:szCs w:val="24"/>
        </w:rPr>
        <w:t>决定。对符合规定条件的，准予许可并发给医疗器械经营许可证；对不符合规定条件的，不予许可并书面说明理由。</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医疗器械经营许可证有效期为5年。有效期届满需要延续的，依照有关行政许可的法律规定办理延续手续。</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第四十三条　医疗器械注册人、备案人经营其注册、备案的医疗器械，无需办理医疗器械经营许可或者备案，但应当符合本条例规定的经营条件。</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第四十四条　从事医疗器械经营，应当依照法律法规和国务院药品监督管理部门制定的医疗器械经营质量管理规范的要求，建立健全与所经营医疗器械相适应的质量管理体系并保证其有效运行。</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第四十五条　医疗器械经营企业、使用单位应当</w:t>
      </w:r>
      <w:proofErr w:type="gramStart"/>
      <w:r w:rsidRPr="000E16FE">
        <w:rPr>
          <w:rFonts w:ascii="宋体" w:eastAsia="宋体" w:hAnsi="宋体" w:cs="宋体" w:hint="eastAsia"/>
          <w:color w:val="333333"/>
          <w:kern w:val="0"/>
          <w:sz w:val="24"/>
          <w:szCs w:val="24"/>
        </w:rPr>
        <w:t>从具备</w:t>
      </w:r>
      <w:proofErr w:type="gramEnd"/>
      <w:r w:rsidRPr="000E16FE">
        <w:rPr>
          <w:rFonts w:ascii="宋体" w:eastAsia="宋体" w:hAnsi="宋体" w:cs="宋体" w:hint="eastAsia"/>
          <w:color w:val="333333"/>
          <w:kern w:val="0"/>
          <w:sz w:val="24"/>
          <w:szCs w:val="24"/>
        </w:rPr>
        <w:t>合法资质的医疗器械注册人、备案人、生产经营企业购进医疗器械。购进医疗器械时，应当查验供货者的资质和医疗器械的合格证明文件，建立进货查验记录制度。从事第二类、第三类医疗器械批发业务以及第三类医疗器械零售业务的经营企业，还应当建立销售记录制度。</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记录事项包括：</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（一）医疗器械的名称、型号、规格、数量；</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（二）医疗器械的生产批号、使用期限或者失效日期、销售日期；</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（三）医疗器械注册人、备案人和受托生产企业的名称；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（四）供货者或者购货者的名称、地址以及联系方式；</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（五）相关许可证明文件编号等。</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进货查验记录和销售记录应当真实、准确、完整和</w:t>
      </w:r>
      <w:proofErr w:type="gramStart"/>
      <w:r w:rsidRPr="000E16FE">
        <w:rPr>
          <w:rFonts w:ascii="宋体" w:eastAsia="宋体" w:hAnsi="宋体" w:cs="宋体" w:hint="eastAsia"/>
          <w:color w:val="333333"/>
          <w:kern w:val="0"/>
          <w:sz w:val="24"/>
          <w:szCs w:val="24"/>
        </w:rPr>
        <w:t>可</w:t>
      </w:r>
      <w:proofErr w:type="gramEnd"/>
      <w:r w:rsidRPr="000E16FE">
        <w:rPr>
          <w:rFonts w:ascii="宋体" w:eastAsia="宋体" w:hAnsi="宋体" w:cs="宋体" w:hint="eastAsia"/>
          <w:color w:val="333333"/>
          <w:kern w:val="0"/>
          <w:sz w:val="24"/>
          <w:szCs w:val="24"/>
        </w:rPr>
        <w:t>追溯，并按照国务院药品监督管理部门规定的期限予以保存。国家鼓励采用先进技术手段进行记录。</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第四十六条　从事医疗器械网络销售的，应当是医疗器械注册人、备案人或者医疗器械经营企业。从事医疗器械网络销售的经营者，应当将从事医疗器械网络销售的相关信息告知所在地设区的市级人民政府负责药品监督管理的部门，</w:t>
      </w:r>
      <w:proofErr w:type="gramStart"/>
      <w:r w:rsidRPr="000E16FE">
        <w:rPr>
          <w:rFonts w:ascii="宋体" w:eastAsia="宋体" w:hAnsi="宋体" w:cs="宋体" w:hint="eastAsia"/>
          <w:color w:val="333333"/>
          <w:kern w:val="0"/>
          <w:sz w:val="24"/>
          <w:szCs w:val="24"/>
        </w:rPr>
        <w:t>经营第</w:t>
      </w:r>
      <w:proofErr w:type="gramEnd"/>
      <w:r w:rsidRPr="000E16FE">
        <w:rPr>
          <w:rFonts w:ascii="宋体" w:eastAsia="宋体" w:hAnsi="宋体" w:cs="宋体" w:hint="eastAsia"/>
          <w:color w:val="333333"/>
          <w:kern w:val="0"/>
          <w:sz w:val="24"/>
          <w:szCs w:val="24"/>
        </w:rPr>
        <w:t>一类医疗器械和本条例第四十一条第二款规定的第二类医疗器械的除外。</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为医疗器械网络交易提供服务的电子商务平台经营者应当对入网医疗器械经营者进行实名登记，审查其经营许可、备案情况和所经营医疗器械产品注册、备案情况，并对其经营行为进行管理。电子商务平台经营者发现入网医疗器械经营者有违反本条例规定行为的，应当及时制止并立即报告医疗器械经营者所在地设区的市级人民政府负责药品监督管理的部门；发现严重违法行为的，应当立即停止提供网络交易平台服务。</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第四十七条　运输、贮存医疗器械，应当符合医疗器械说明书和标签标示的要求；对温度、湿度等环境条件有特殊要求的，应当采取相应措施，保证医疗器械的安全、有效。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第四十八条　医疗器械使用单位应当有与在用医疗器械品种、数量相适应的贮存场所和条件。医疗器械使用单位应当加强对工作人员的技术培训，按照产品说明书、技术操作规范等要求使用医疗器械。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使用单位配置大型医用设备，应当符合国务院卫生主管部门制定的大型医用设备配置规划，与其功能定位、临床服务需求相适应，具有相应的技术条件、配套设施和具备相应资质、能力的专业技术人员，并经省级以上人民政府卫生主管部门批准，取得大型医用设备配置许可证。</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大型医用设备配置管理办法由国务院卫生主管部门会同国务院有关部门制定。大型医用设备目录由国务院卫生主管部门商国务院有关部门提出，报国务院批准后执行。</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第四十九条　医疗器械使用单位对重复使用的医疗器械，应当按照国务院卫生主管部门制定的消毒和管理的规定进行处理。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次性使用的医疗器械不得重复使用，对使用过的应当按照国家有关规定销毁并记录。一次性使用的医疗器械目录由国务院药品监督管理部门会同国务院卫生主管部门制定、调整并公布。列入一次性使用的医疗器械目录，应当具有充足的无法重复使用的证据理由。重复使用可以保证安全、有效的医疗器械，不列入一次性使用的医疗器械目录。对因设计、生产工艺、消毒灭菌技术等改进后重复</w:t>
      </w:r>
      <w:r w:rsidRPr="000E16FE">
        <w:rPr>
          <w:rFonts w:ascii="宋体" w:eastAsia="宋体" w:hAnsi="宋体" w:cs="宋体" w:hint="eastAsia"/>
          <w:color w:val="333333"/>
          <w:kern w:val="0"/>
          <w:sz w:val="24"/>
          <w:szCs w:val="24"/>
        </w:rPr>
        <w:lastRenderedPageBreak/>
        <w:t>使用可以保证安全、有效的医疗器械，应当调整出一次性使用的医疗器械目录，允许重复使用。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第五十条　医疗器械使用单位对需要定期检查、检验、校准、保养、维护的医疗器械，应当按照产品说明书的要求进行检查、检验、校准、保养、维护并予以记录，及时进行分析、评估，确保医疗器械处于良好状态，保障使用质量；对使用期限长的大型医疗器械，应当逐台建立使用档案，记录其使用、维护、转让、实际使用时间等事项。记录保存期限不得少于医疗器械规定使用期限终止后5年。</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第五十一条　医疗器械使用单位应当妥善保存购入第三类医疗器械的原始资料，并确保信息具有可追溯性。</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使用大型医疗器械以及植入和介入类医疗器械的，应当将医疗器械的名称、关键性技术参数等信息以及与使用质量安全密切相关的必要信息记载到病历等相关记录中。</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第五十二条　发现使用的医疗器械存在安全隐患的，医疗器械使用单位应当立即停止使用，并通知医疗器械注册人、备案人或者其他负责产品质量的机构进行检修；经</w:t>
      </w:r>
      <w:proofErr w:type="gramStart"/>
      <w:r w:rsidRPr="000E16FE">
        <w:rPr>
          <w:rFonts w:ascii="宋体" w:eastAsia="宋体" w:hAnsi="宋体" w:cs="宋体" w:hint="eastAsia"/>
          <w:color w:val="333333"/>
          <w:kern w:val="0"/>
          <w:sz w:val="24"/>
          <w:szCs w:val="24"/>
        </w:rPr>
        <w:t>检修仍</w:t>
      </w:r>
      <w:proofErr w:type="gramEnd"/>
      <w:r w:rsidRPr="000E16FE">
        <w:rPr>
          <w:rFonts w:ascii="宋体" w:eastAsia="宋体" w:hAnsi="宋体" w:cs="宋体" w:hint="eastAsia"/>
          <w:color w:val="333333"/>
          <w:kern w:val="0"/>
          <w:sz w:val="24"/>
          <w:szCs w:val="24"/>
        </w:rPr>
        <w:t>不能达到使用安全标准的医疗器械，不得继续使用。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第五十三条　对国内尚无同品种产品上市的体外诊断试剂，符合条件的医疗机构根据本单位的临床需要，可以自行研制，在执业医师指导下在本单位内使用。具体管理办法由国务院药品监督管理部门会同国务院卫生主管部门制定。</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第五十四条　负责药品监督管理的部门和卫生主管部门依据各自职责，分别对使用环节的医疗器械质量和医疗器械使用行为进行监督管理。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第五十五条　医疗器械经营企业、使用单位不得经营、使用未依法注册或者备案、无合格证明文件以及过期、失效、淘汰的医疗器械。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第五十六条　医疗器械使用单位之间转让在用医疗器械，转让方应当确保所转让的医疗器械安全、有效，不得转让过期、失效、淘汰以及检验不合格的医疗器械。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第五十七条　进口的医疗器械应当是依照本条例第二章的规定已注册或者已备案的医疗器械。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进口的医疗器械应当有中文说明书、中文标签。说明书、标签应当符合本条例规定以及相关强制性标准的要求，并在说明书中载明医疗器械的原产地以及境外医疗器械注册人、备案人指定的我国境内企业法人的名称、地址、联系方式。没有中文说明书、中文标签或者说明书、标签不符合本条规定的，不得进口。</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医疗机构因临床急需进口少量第二类、第三类医疗器械的，经国务院药品监督管理部门或者国务院授权的省、自治区、直辖市人民政府批准，可以进口。进口的医疗器械应当在指定医疗机构内用于特定医疗目的。</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禁止进口过期、失效、淘汰等已使用过的医疗器械。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第五十八条　出入境检验检疫机构依法对进口的医疗器械实施检验；检验不合格的，不得进口。</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国务院药品监督管理部门应当及时向国家出入境检验检疫部门通报进口医疗器械的注册和备案情况。进口口岸所在地出入境检验检疫机构应当及时向所在地设区的市级人民政府负责药品监督管理的部门通报进口医疗器械的通关情况。</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第五十九条　出口医疗器械的企业应当保证其出口的医疗器械符合进口国（地区）的要求。</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第六十条　医疗器械广告的内容应当真实合法，以</w:t>
      </w:r>
      <w:proofErr w:type="gramStart"/>
      <w:r w:rsidRPr="000E16FE">
        <w:rPr>
          <w:rFonts w:ascii="宋体" w:eastAsia="宋体" w:hAnsi="宋体" w:cs="宋体" w:hint="eastAsia"/>
          <w:color w:val="333333"/>
          <w:kern w:val="0"/>
          <w:sz w:val="24"/>
          <w:szCs w:val="24"/>
        </w:rPr>
        <w:t>经负责</w:t>
      </w:r>
      <w:proofErr w:type="gramEnd"/>
      <w:r w:rsidRPr="000E16FE">
        <w:rPr>
          <w:rFonts w:ascii="宋体" w:eastAsia="宋体" w:hAnsi="宋体" w:cs="宋体" w:hint="eastAsia"/>
          <w:color w:val="333333"/>
          <w:kern w:val="0"/>
          <w:sz w:val="24"/>
          <w:szCs w:val="24"/>
        </w:rPr>
        <w:t>药品监督管理的部门注册或者备案的医疗器械说明书为准，不得含有虚假、夸大、误导性的内容。</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发布医疗器械广告，应当在发布前由省、自治区、直辖市人民政府确定的广告审查机关对广告内容进行审查，并取得医疗器械广告批准文号；未经审查，不得发布。</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省级以上人民政府药品监督管理部门责令暂停生产、进口、经营和使用的医疗器械，在暂停期间不得发布涉及该医疗器械的广告。</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医疗器械广告的审查办法由国务院市场监督管理部门制定。</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0E16FE">
        <w:rPr>
          <w:rFonts w:ascii="黑体" w:eastAsia="黑体" w:hAnsi="黑体" w:cs="宋体" w:hint="eastAsia"/>
          <w:b/>
          <w:bCs/>
          <w:color w:val="333333"/>
          <w:kern w:val="0"/>
          <w:sz w:val="27"/>
          <w:szCs w:val="27"/>
        </w:rPr>
        <w:t>第五章　不良事件的处理与医疗器械的召回</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第六十一条　国家建立医疗器械不良事件监测制度，对医疗器械不良事件及时进行收集、分析、评价、控制。</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第六十二条　医疗器械注册人、备案人应当建立医疗器械不良事件监测体系，配备与其产品相适应的不良事件监测机构和人员，对其产品主动开展不良事件监测，并按照国务院药品监督管理部门的规定，向医疗器械不良事件监测技术机构报告调查、分析、评价、产品风险控制等情况。</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生产经营企业、使用单位应当协助医疗器械注册人、备案人对所生产经营或者使用的医疗器械开展不良事件监测；发现医疗器械不良事件或者可疑不良事件，应当按照国务院药品监督管理部门的规定，向医疗器械不良事件监测技术机构报告。</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其他单位和个人发现医疗器械不良事件或者可疑不良事件，有权向负责药品监督管理的部门或者医疗器械不良事件监测技术机构报告。</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第六十三条　国务院药品监督管理部门应当加强医疗器械不良事件监测信息网络建设。</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不良事件监测技术机构应当加强医疗器械不良事件信息监测，主动收集不良事件信息；发现不良事件或者接到不良事件报告的，应当及时进行核实，必要时进行调查、分析、评估，向负责药品监督管理的部门和卫生主管部门报告并提出处理建议。</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医疗器械不良事件监测技术机构应当公布联系方式，方便医疗器械注册人、备案人、生产经营企业、使用单位等报告医疗器械不良事件。</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第六十四条　负责药品监督管理的部门应当根据医疗器械不良事件评估结果及时采取发布警示信息以及责令暂停生产、进口、经营和使用等控制措施。</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省级以上人民政府药品监督管理部门应当会同同级卫生主管部门和相关部门组织对引起突发、群发的严重伤害或者死亡的医疗器械不良事件及时进行调查和处理，并组织对同类医疗器械加强监测。</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负责药品监督管理的部门应当及时向同级卫生主管部门通报医疗器械使用单位的不良事件监测有关情况。</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第六十五条　医疗器械注册人、备案人、生产经营企业、使用单位应当对医疗器械不良事件监测技术机构、负责药品监督管理的部门、卫生主管部门开展的医疗器械不良事件调查予以配合。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第六十六条　有下列情形之一的，医疗器械注册人、备案人应当主动开展已上市医疗器械再评价：</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（一）根据科学研究的发展，对医疗器械的安全、有效有认识上的改变；</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（二）医疗器械不良事件监测、评估结果表明医疗器械可能存在缺陷；</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（三）国务院药品监督管理部门规定的其他情形。</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注册人、备案人应当根据再评价结果，采取相应控制措施，对已上市医疗器械进行改进，并按照规定进行注册变更或者备案变更。再评价结果表明已上市医疗器械不能保证安全、有效的，医疗器械注册人、备案人应当主动申请注销医疗器械注册证或者取消备案；医疗器械注册人、备案人未申请注销医疗器</w:t>
      </w:r>
      <w:r w:rsidRPr="000E16FE">
        <w:rPr>
          <w:rFonts w:ascii="宋体" w:eastAsia="宋体" w:hAnsi="宋体" w:cs="宋体" w:hint="eastAsia"/>
          <w:color w:val="333333"/>
          <w:kern w:val="0"/>
          <w:sz w:val="24"/>
          <w:szCs w:val="24"/>
        </w:rPr>
        <w:lastRenderedPageBreak/>
        <w:t>械注册证或者取消备案的，由负责药品监督管理的部门注销医疗器械注册证或者取消备案。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省级以上人民政府药品监督管理部门根据医疗器械不良事件监测、评估等情况，对已上市医疗器械开展再评价。再评价结果表明已上市医疗器械不能保证安全、有效的，应当注销医疗器械注册证或者取消备案。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负责药品监督管理的部门应当向社会及时公布注销医疗器械注册证和取消备案情况。被注销医疗器械注册证或者取消备案的医疗器械不得继续生产、进口、经营、使用。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第六十七条　医疗器械注册人、备案人发现生产的医疗器械不符合强制性标准、经注册或者备案的产品技术要求，或者存在其他缺陷的，应当立即停止生产，通知相关经营企业、使用单位和消费者停止经营和使用，召回已经上市销售的医疗器械，采取补救、销毁等措施，记录相关情况，发布相关信息，并将医疗器械召回和处理情况向负责药品监督管理的部门和卫生主管部门报告。</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受托生产企业、经营企业发现生产、经营的医疗器械存在前款规定情形的，应当立即停止生产、经营，通知医疗器械注册人、备案人，并记录停止生产、经营和通知情况。医疗器械注册人、备案人认为属于依照前款规定需要召回的医疗器械，应当立即召回。</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医疗器械注册人、备案人、受托生产企业、经营企业未依照本条规定实施召回或者停止生产、经营的，负责药品监督管理的部门可以责令其召回或者停止生产、经营。</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w:t>
      </w:r>
    </w:p>
    <w:p w:rsidR="000E16FE" w:rsidRPr="000E16FE" w:rsidRDefault="000E16FE" w:rsidP="000E16FE">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0E16FE">
        <w:rPr>
          <w:rFonts w:ascii="黑体" w:eastAsia="黑体" w:hAnsi="黑体" w:cs="宋体" w:hint="eastAsia"/>
          <w:b/>
          <w:bCs/>
          <w:color w:val="333333"/>
          <w:kern w:val="0"/>
          <w:sz w:val="27"/>
          <w:szCs w:val="27"/>
        </w:rPr>
        <w:t>第六章　监督检查</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第六十八条　国家建立职业化专业化检查员制度，加强对医疗器械的监督检查。</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第六十九条　负责药品监督管理的部门应当对医疗器械的研制、生产、经营活动以及使用环节的医疗器械质量加强监督检查，并对下列事项进行重点监督检查：</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（一）是否按照经注册或者备案的产品技术要求组织生产；</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（二）质量管理体系是否保持有效运行；</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（三）生产经营条件是否持续符合法定要求。</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必要时，负责药品监督管理的部门可以对为医疗器械研制、生产、经营、使用等活动提供产品或者服务的其他相关单位和个人进行延伸检查。</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第七十条　负责药品监督管理的部门在监督检查中有下列职权：</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（一）进入现场实施检查、抽取样品；</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（二）查阅、复制、查封、扣押有关合同、票据、账簿以及其他有关资料；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（三）查封、扣押不符合法定要求的医疗器械，违法使用的零配件、原材料以及用于违法生产经营医疗器械的工具、设备；</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（四）查封违反本条例规定从事医疗器械生产经营活动的场所。</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进行监督检查，应当出示执法证件，保守被检查单位的商业秘密。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有关单位和个人应当对监督检查予以配合，提供相关文件和资料，不得隐瞒、拒绝、阻挠。</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第七十一条　卫生主管部门应当对医疗机构的医疗器械使用行为加强监督检查。实施监督检查时，可以进入医疗机构，查阅、复制有关档案、记录以及其他有关资料。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第七十二条　医疗器械生产经营过程中存在产品质量安全隐患，未及时采取措施消除的，负责药品监督管理的部门可以采取告诫、责任约谈、责令限期整改等措施。</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对人体造成伤害或者有证据证明可能危害人体健康的医疗器械，负责药品监督管理的部门可以采取责令暂停生产、进口、经营、使用的紧急控制措施，并发布安全警示信息。</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第七十三条　负责药品监督管理的部门应当加强对医疗器械注册人、备案人、生产经营企业和使用单位生产、经营、使用的医疗器械的抽查检验。抽查检验不得收取检验费和其他任何费用，所需费用纳入本级政府预算。省级以上人民政府药品监督管理部门应当根据抽查检验结论及时发布医疗器械质量公告。</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卫生主管部门应当对大型医用设备的使用状况进行监督和评估；发现违规使用以及与大型医用设备相关的过度检查、过度治疗等情形的，应当立即纠正，依法予以处理。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第七十四条　负责药品监督管理的部门未及时发现医疗器械安全系统性风险，未及时消除监督管理区域内医疗器械安全隐患的，本级人民政府或者上级人民政府负责药品监督管理的部门应当对其主要负责人进行约谈。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地方人民政府未履行医疗器械安全职责，未及时消除区域性重大医疗器械安全隐患的，上级人民政府或者上级人民政府负责药品监督管理的部门应当对其主要负责人进行约谈。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被约谈的部门和地方人民政府应当立即采取措施，对医疗器械监督管理工作进行整改。</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第七十五条　医疗器械检验机构资质认定工作按照国家有关规定实行统一管理。经国务院认证认可监督管理部门会同国务院药品监督管理部门认定的检验机构，方可对医疗器械实施检验。</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负责药品监督管理的部门在执法工作中需要对医疗器械进行检验的，应当委托有资质的医疗器械检验机构进行，并支付相关费用。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当事人对检验结论有异议的，可以自收到检验结论之日起7个工作日内向实施抽样检验的部门或者其上一级负责药品监督管理的部门提出复检申请，由受理复检申请的部门在复检机构名录中随机确定复检机构进行复检。承担复检工作的</w:t>
      </w:r>
      <w:r w:rsidRPr="000E16FE">
        <w:rPr>
          <w:rFonts w:ascii="宋体" w:eastAsia="宋体" w:hAnsi="宋体" w:cs="宋体" w:hint="eastAsia"/>
          <w:color w:val="333333"/>
          <w:kern w:val="0"/>
          <w:sz w:val="24"/>
          <w:szCs w:val="24"/>
        </w:rPr>
        <w:lastRenderedPageBreak/>
        <w:t>医疗器械检验机构应当在国务院药品监督管理部门规定的时间内</w:t>
      </w:r>
      <w:proofErr w:type="gramStart"/>
      <w:r w:rsidRPr="000E16FE">
        <w:rPr>
          <w:rFonts w:ascii="宋体" w:eastAsia="宋体" w:hAnsi="宋体" w:cs="宋体" w:hint="eastAsia"/>
          <w:color w:val="333333"/>
          <w:kern w:val="0"/>
          <w:sz w:val="24"/>
          <w:szCs w:val="24"/>
        </w:rPr>
        <w:t>作出</w:t>
      </w:r>
      <w:proofErr w:type="gramEnd"/>
      <w:r w:rsidRPr="000E16FE">
        <w:rPr>
          <w:rFonts w:ascii="宋体" w:eastAsia="宋体" w:hAnsi="宋体" w:cs="宋体" w:hint="eastAsia"/>
          <w:color w:val="333333"/>
          <w:kern w:val="0"/>
          <w:sz w:val="24"/>
          <w:szCs w:val="24"/>
        </w:rPr>
        <w:t>复检结论。复检结论为最终检验结论。复检机构与初检机构不得为同一机构；相关检验项目只有一家有资质的检验机构的，复检时应当变更承办部门或者人员。复检机构名录由国务院药品监督管理部门公布。</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第七十六条　对可能存在有害物质或者擅自改变医疗器械设计、原材料和生产工艺并存在安全隐患的医疗器械，按照医疗器械国家标准、行业标准规定的检验项目和检验方法无法检验的，医疗器械检验机构可以使用国务院药品监督管理部门批准的补充检验项目和检验方法进行检验；使用补充检验项目、检验方法得出的检验结论，可以作为负责药品监督管理的部门认定医疗器械质量的依据。</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第七十七条　市场监督管理部门应当依照有关广告管理的法律、行政法规的规定，对医疗器械广告进行监督检查，查处违法行为。</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第七十八条　负责药品监督管理的部门应当通过国务院药品监督管理部门在线政务服务平台依法及时公布医疗器械许可、备案、抽查检验、违法行为查处等日常监督管理信息。但是，不得泄露当事人的商业秘密。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负责药品监督管理的部门建立医疗器械注册人、备案人、生产经营企业、使用单位信用档案，对有不良信用记录的增加监督检查频次，依法加强失信惩戒。</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第七十九条　负责药品监督管理的部门等部门应当公布本单位的联系方式，接受咨询、投诉、举报。负责药品监督管理的部门等部门接到与医疗器械监督管理有关的咨询，应当及时答复；接到投诉、举报，应当及时核实、处理、答复。对咨询、投诉、举报情况及其答复、核实、处理情况，应当予以记录、保存。</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有关医疗器械研制、生产、经营、使用行为的举报经调查属实的，负责药品监督管理的部门等部门对举报人应当给予奖励。有关部门应当为举报人保密。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第八十条　国务院药品监督管理部门制定、调整、修改本条例规定的目录以及与医疗器械监督管理有关的规范，应当公开征求意见；采取听证会、论证会等形式，听取专家、医疗器械注册人、备案人、生产经营企业、使用单位、消费者、行业协会以及相关组织等方面的意见。</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0E16FE">
        <w:rPr>
          <w:rFonts w:ascii="黑体" w:eastAsia="黑体" w:hAnsi="黑体" w:cs="宋体" w:hint="eastAsia"/>
          <w:b/>
          <w:bCs/>
          <w:color w:val="333333"/>
          <w:kern w:val="0"/>
          <w:sz w:val="27"/>
          <w:szCs w:val="27"/>
        </w:rPr>
        <w:t>第七章　法律责任</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第八十一条　有下列情形之一的，由负责药品监督管理的部门没收违法所得、违法生产经营的医疗器械和用于违法生产经营的工具、设备、原材料等物品；违法生产经营的医疗器械货值金额不足1万元的，并处5万元以上15万元以下罚款；货值金额1万元以上的，</w:t>
      </w:r>
      <w:proofErr w:type="gramStart"/>
      <w:r w:rsidRPr="000E16FE">
        <w:rPr>
          <w:rFonts w:ascii="宋体" w:eastAsia="宋体" w:hAnsi="宋体" w:cs="宋体" w:hint="eastAsia"/>
          <w:color w:val="333333"/>
          <w:kern w:val="0"/>
          <w:sz w:val="24"/>
          <w:szCs w:val="24"/>
        </w:rPr>
        <w:t>并处货值</w:t>
      </w:r>
      <w:proofErr w:type="gramEnd"/>
      <w:r w:rsidRPr="000E16FE">
        <w:rPr>
          <w:rFonts w:ascii="宋体" w:eastAsia="宋体" w:hAnsi="宋体" w:cs="宋体" w:hint="eastAsia"/>
          <w:color w:val="333333"/>
          <w:kern w:val="0"/>
          <w:sz w:val="24"/>
          <w:szCs w:val="24"/>
        </w:rPr>
        <w:t>金额15倍以上30倍以下罚款；情节严重的，责令停产停业，10年内不受理相关责任人以及单位提出的医疗器械许可申请，对违法单位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30%以上3倍以下罚款，终身禁止其从事医疗器械生产经营活动：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（一）生产、经营未取得医疗器械注册证的第二类、第三类医疗器械；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（二）未经许可从事第二类、第三类医疗器械生产活动；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（三）未经许可从事第三类医疗器械经营活动。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有前款第一项情形、情节严重的，由原发证部门吊销医疗器械生产许可证或者医疗器械经营许可证。</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第八十二条　未经许可擅自配置使用大型医用设备的，由县级以上人民政府卫生主管部门责令停止使用，给予警告，没收违法所得；违法所得不足1万元的，并处5万元以上10万元以下罚款；违法所得1万元以上的，并处违法所得10倍以上30倍以下罚款；情节严重的，5年内不受理相关责任人以及单位提出的大型医用设备配置许可申请，对违法单位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30%以上3倍以下罚款，依法给予处分。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第八十三条　在申请医疗器械行政许可时提供虚假资料或者采取其他欺骗手段的，不予行政许可，已经取得行政许可的，由</w:t>
      </w:r>
      <w:proofErr w:type="gramStart"/>
      <w:r w:rsidRPr="000E16FE">
        <w:rPr>
          <w:rFonts w:ascii="宋体" w:eastAsia="宋体" w:hAnsi="宋体" w:cs="宋体" w:hint="eastAsia"/>
          <w:color w:val="333333"/>
          <w:kern w:val="0"/>
          <w:sz w:val="24"/>
          <w:szCs w:val="24"/>
        </w:rPr>
        <w:t>作出</w:t>
      </w:r>
      <w:proofErr w:type="gramEnd"/>
      <w:r w:rsidRPr="000E16FE">
        <w:rPr>
          <w:rFonts w:ascii="宋体" w:eastAsia="宋体" w:hAnsi="宋体" w:cs="宋体" w:hint="eastAsia"/>
          <w:color w:val="333333"/>
          <w:kern w:val="0"/>
          <w:sz w:val="24"/>
          <w:szCs w:val="24"/>
        </w:rPr>
        <w:t>行政许可决定的部门撤销行政许可，没收违法所得、违法生产经营使用的医疗器械，10年内不受理相关责任人以及单位提出的医疗器械许可申请；违法生产经营使用的医疗器械货值金额不足1万元的，并处5万元以上15万元以下罚款；货值金额1万元以上的，</w:t>
      </w:r>
      <w:proofErr w:type="gramStart"/>
      <w:r w:rsidRPr="000E16FE">
        <w:rPr>
          <w:rFonts w:ascii="宋体" w:eastAsia="宋体" w:hAnsi="宋体" w:cs="宋体" w:hint="eastAsia"/>
          <w:color w:val="333333"/>
          <w:kern w:val="0"/>
          <w:sz w:val="24"/>
          <w:szCs w:val="24"/>
        </w:rPr>
        <w:t>并处货值</w:t>
      </w:r>
      <w:proofErr w:type="gramEnd"/>
      <w:r w:rsidRPr="000E16FE">
        <w:rPr>
          <w:rFonts w:ascii="宋体" w:eastAsia="宋体" w:hAnsi="宋体" w:cs="宋体" w:hint="eastAsia"/>
          <w:color w:val="333333"/>
          <w:kern w:val="0"/>
          <w:sz w:val="24"/>
          <w:szCs w:val="24"/>
        </w:rPr>
        <w:t>金额15倍以上30倍以下罚款；情节严重的，责令停产停业，对违法单位的法定代表人、主要负责人、直接负责的主管人员和其他责任人员，没收违法行为发生期间自本单位所获收入，并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30%以上3倍以下罚款，终身禁止其从事医疗器械生产经营活动。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伪造、变造、买卖、出租、出借相关医疗器械许可证件的，由原发证部门予以收缴或者吊销，没收违法所得；违法所得不足1万元的，并处5万元以上10万元以下罚款；违法所得1万元以上的，并处违法所得10倍以上20倍以下罚款；构成违反治安管理行为的，由公安机关依法予以治安管理处罚。</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第八十四条　有下列情形之一的，由负责药品监督管理的部门向社会公告单位和产品名称，责令限期改正；逾期不改正的，没收违法所得、违法生产经营的医疗器械；违法生产经营的医疗器械货值金额不足1万元的，并处1万元以上5万元以下罚款；货值金额1万元以上的，</w:t>
      </w:r>
      <w:proofErr w:type="gramStart"/>
      <w:r w:rsidRPr="000E16FE">
        <w:rPr>
          <w:rFonts w:ascii="宋体" w:eastAsia="宋体" w:hAnsi="宋体" w:cs="宋体" w:hint="eastAsia"/>
          <w:color w:val="333333"/>
          <w:kern w:val="0"/>
          <w:sz w:val="24"/>
          <w:szCs w:val="24"/>
        </w:rPr>
        <w:t>并处货值</w:t>
      </w:r>
      <w:proofErr w:type="gramEnd"/>
      <w:r w:rsidRPr="000E16FE">
        <w:rPr>
          <w:rFonts w:ascii="宋体" w:eastAsia="宋体" w:hAnsi="宋体" w:cs="宋体" w:hint="eastAsia"/>
          <w:color w:val="333333"/>
          <w:kern w:val="0"/>
          <w:sz w:val="24"/>
          <w:szCs w:val="24"/>
        </w:rPr>
        <w:t>金额5倍以上20倍以下罚款；情节严重的，对违法单位的法定代表人、主要负责人、直接负责的主管人员和其他责任人员，没收违法行为发生期间自本单位所获收入，并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30%以上2倍以下罚款，5年内禁止其从事医疗器械生产经营活动：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（一）生产、经营未经备案的第一类医疗器械；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（二）未经备案从事第一类医疗器械生产；</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（三）经营第二类医疗器械，应当备案但未备案；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（四）已经备案的资料不符合要求。</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第八十五条　备案时提供虚假资料的，由负责药品监督管理的部门向社会公告备案单位和产品名称，没收违法所得、违法生产经营的医疗器械；违法生产经营的医疗器械货值金额不足1万元的，并处2万元以上5万元以下罚款；货值金额1万元以上的，</w:t>
      </w:r>
      <w:proofErr w:type="gramStart"/>
      <w:r w:rsidRPr="000E16FE">
        <w:rPr>
          <w:rFonts w:ascii="宋体" w:eastAsia="宋体" w:hAnsi="宋体" w:cs="宋体" w:hint="eastAsia"/>
          <w:color w:val="333333"/>
          <w:kern w:val="0"/>
          <w:sz w:val="24"/>
          <w:szCs w:val="24"/>
        </w:rPr>
        <w:t>并处货值</w:t>
      </w:r>
      <w:proofErr w:type="gramEnd"/>
      <w:r w:rsidRPr="000E16FE">
        <w:rPr>
          <w:rFonts w:ascii="宋体" w:eastAsia="宋体" w:hAnsi="宋体" w:cs="宋体" w:hint="eastAsia"/>
          <w:color w:val="333333"/>
          <w:kern w:val="0"/>
          <w:sz w:val="24"/>
          <w:szCs w:val="24"/>
        </w:rPr>
        <w:t>金额5倍以上20倍以下罚款；情节严重的，责令停</w:t>
      </w:r>
      <w:r w:rsidRPr="000E16FE">
        <w:rPr>
          <w:rFonts w:ascii="宋体" w:eastAsia="宋体" w:hAnsi="宋体" w:cs="宋体" w:hint="eastAsia"/>
          <w:color w:val="333333"/>
          <w:kern w:val="0"/>
          <w:sz w:val="24"/>
          <w:szCs w:val="24"/>
        </w:rPr>
        <w:lastRenderedPageBreak/>
        <w:t>产停业，对违法单位的法定代表人、主要负责人、直接负责的主管人员和其他责任人员，没收违法行为发生期间自本单位所获收入，并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30%以上3倍以下罚款，10年内禁止其从事医疗器械生产经营活动。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第八十六条　有下列情形之一的，由负责药品监督管理的部门责令改正，没收违法生产经营使用的医疗器械；违法生产经营使用的医疗器械货值金额不足1万元的，并处2万元以上5万元以下罚款；货值金额1万元以上的，</w:t>
      </w:r>
      <w:proofErr w:type="gramStart"/>
      <w:r w:rsidRPr="000E16FE">
        <w:rPr>
          <w:rFonts w:ascii="宋体" w:eastAsia="宋体" w:hAnsi="宋体" w:cs="宋体" w:hint="eastAsia"/>
          <w:color w:val="333333"/>
          <w:kern w:val="0"/>
          <w:sz w:val="24"/>
          <w:szCs w:val="24"/>
        </w:rPr>
        <w:t>并处货值</w:t>
      </w:r>
      <w:proofErr w:type="gramEnd"/>
      <w:r w:rsidRPr="000E16FE">
        <w:rPr>
          <w:rFonts w:ascii="宋体" w:eastAsia="宋体" w:hAnsi="宋体" w:cs="宋体" w:hint="eastAsia"/>
          <w:color w:val="333333"/>
          <w:kern w:val="0"/>
          <w:sz w:val="24"/>
          <w:szCs w:val="24"/>
        </w:rPr>
        <w:t>金额5倍以上20倍以下罚款；情节严重的，责令停产停业，直至由原发证部门吊销医疗器械注册证、医疗器械生产许可证、医疗器械经营许可证，对违法单位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30%以上3倍以下罚款，10年内禁止其从事医疗器械生产经营活动：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（一）生产、经营、使用不符合强制性标准或者不符合经注册或者备案的产品技术要求的医疗器械；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（二）未按照经注册或者备案的产品技术要求组织生产，或者未依照本条例规定建立质量管理体系并保持有效运行，影响产品安全、有效；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（三）经营、使用无合格证明文件、过期、失效、淘汰的医疗器械，或者使用未依法注册的医疗器械；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（四）在负责药品监督管理的部门责令召回后仍拒不召回，或者在负责药品监督管理的部门责令停止或者暂停生产、进口、经营后，仍拒不停止生产、进口、经营医疗器械；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（五）委托不具备本条例规定条件的企业生产医疗器械，或者未对受托生产企业的生产行为进行管理；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（六）进口过期、失效、淘汰等已使用过的医疗器械。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第八十七条　医疗器械经营企业、使用单位履行了本条例规定的进货查验等义务，有充分证据证明其不知道所经营、使用的医疗器械为本条例第八十一条第一款第一项、第八十四条第一项、第八十六条第一项和第三项规定情形的医疗器械，并能如实说明其进货来源的，收缴其经营、使用的不符合法定要求的医疗器械，可以免除行政处罚。</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第八十八条　有下列情形之一的，由负责药品监督管理的部门责令改正，处1万元以上5万元以下罚款；拒不改正的，处5万元以上10万元以下罚款；情节严重的，责令停产停业，直至由原发证部门吊销医疗器械生产许可证、医疗器械经营许可证，对违法单位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30%以上2倍以下罚款，5年内禁止其从事医疗器械生产经营活动：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（一）生产条件发生变化、不再符合医疗器械质量管理体系要求，未依照本条例规定整改、停止生产、报告；</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（二）生产、经营说明书、标签不符合本条例规定的医疗器械；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（三）未按照医疗器械说明书和标签标示要求运输、贮存医疗器械；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（四）转让过期、失效、淘汰或者检验不合格的在用医疗器械。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第八十九条　有下列情形之一的，由负责药品监督管理的部门和卫生主管部门依据各自职责责令改正，给予警告；拒不改正的，处1万元以上10万元以下罚款；情节严重的，责令停产停业，直至由原发证部门吊销医疗器械注册证、医疗器械生产许可证、医疗器械经营许可证，对违法单位的法定代表人、主要负责人、直接负责的主管人员和其他责任人员处1万元以上3万元以下罚款：</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（一）未按照要求提交质量管理体系自查报告；</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（二）从不具备合法资质的供货者购进医疗器械；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（三）医疗器械经营企业、使用单位未依照本条例规定建立并执行医疗器械进货查验记录制度；</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（四）从事第二类、第三类医疗器械批发业务以及第三类医疗器械零售业务的经营企业未依照本条例规定建立并执行销售记录制度；</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五）医疗器械注册人、备案人、生产经营企业、使用单位未依照本条例规定开展医疗器械不良事件监测，未按照要求报告不良事件，或者对医疗器械不良事件监测技术机构、负责药品监督管理的部门、卫生主管部门开展的不良事件调查不予配合；</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（六）医疗器械注册人、备案人未按照规定制定上市后研究和风险管</w:t>
      </w:r>
      <w:proofErr w:type="gramStart"/>
      <w:r w:rsidRPr="000E16FE">
        <w:rPr>
          <w:rFonts w:ascii="宋体" w:eastAsia="宋体" w:hAnsi="宋体" w:cs="宋体" w:hint="eastAsia"/>
          <w:color w:val="333333"/>
          <w:kern w:val="0"/>
          <w:sz w:val="24"/>
          <w:szCs w:val="24"/>
        </w:rPr>
        <w:t>控计划</w:t>
      </w:r>
      <w:proofErr w:type="gramEnd"/>
      <w:r w:rsidRPr="000E16FE">
        <w:rPr>
          <w:rFonts w:ascii="宋体" w:eastAsia="宋体" w:hAnsi="宋体" w:cs="宋体" w:hint="eastAsia"/>
          <w:color w:val="333333"/>
          <w:kern w:val="0"/>
          <w:sz w:val="24"/>
          <w:szCs w:val="24"/>
        </w:rPr>
        <w:t>并保证有效实施；</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（七）医疗器械注册人、备案人未按照规定建立并执行产品追溯制度；</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（八）医疗器械注册人、备案人、经营企业从事医疗器械网络销售未按照规定告知负责药品监督管理的部门；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（九）对需要定期检查、检验、校准、保养、维护的医疗器械，医疗器械使用单位未按照产品说明书要求进行检查、检验、校准、保养、维护并予以记录，及时进行分析、评估，确保医疗器械处于良好状态；</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（十）医疗器械使用单位未妥善保存购入第三类医疗器械的原始资料。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第九十条　有下列情形之一的，由县级以上人民政府卫生主管部门责令改正，给予警告；拒不改正的，处5万元以上10万元以下罚款；情节严重的，处10万元以上30万元以下罚款，责令暂停相关医疗器械使用活动，直至由原发证部门吊销执业许可证，依法责令相关责任人员暂停6个月以上1年以下执业活动，直至由原发证部门吊销相关人员执业证书，对违法单位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30%以上3倍以下罚款，依法给予处分：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（一）对重复使用的医疗器械，医疗器械使用单位未按照消毒和管理的规定进行处理；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（二）医疗器械使用单位重复使用一次性使用的医疗器械，或者未按照规定销毁使用过的一次性使用的医疗器械；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（三）医疗器械使用单位未按照规定将大型医疗器械以及植入和介入类医疗器械的信息记载到病历等相关记录中；</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（四）医疗器械使用单位发现使用的医疗器械存在安全隐患未立即停止使用、通知检修，或者继续使用经</w:t>
      </w:r>
      <w:proofErr w:type="gramStart"/>
      <w:r w:rsidRPr="000E16FE">
        <w:rPr>
          <w:rFonts w:ascii="宋体" w:eastAsia="宋体" w:hAnsi="宋体" w:cs="宋体" w:hint="eastAsia"/>
          <w:color w:val="333333"/>
          <w:kern w:val="0"/>
          <w:sz w:val="24"/>
          <w:szCs w:val="24"/>
        </w:rPr>
        <w:t>检修仍</w:t>
      </w:r>
      <w:proofErr w:type="gramEnd"/>
      <w:r w:rsidRPr="000E16FE">
        <w:rPr>
          <w:rFonts w:ascii="宋体" w:eastAsia="宋体" w:hAnsi="宋体" w:cs="宋体" w:hint="eastAsia"/>
          <w:color w:val="333333"/>
          <w:kern w:val="0"/>
          <w:sz w:val="24"/>
          <w:szCs w:val="24"/>
        </w:rPr>
        <w:t>不能达到使用安全标准的医疗器械；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（五）医疗器械使用单位违规使用大型医用设备，不能保障医疗质量安全。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第九十一条　违反进出口商品检验相关法律、行政法规进口医疗器械的，由出入境检验检疫机构依法处理。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第九十二条　为医疗器械网络交易提供服务的电子商务平台经营者违反本条例规定，未履行对入网医疗器械经营者进行实名登记，审查许可、注册、备案情况，制止并报告违法行为，停止提供网络交易平台服务等管理义务的，由负责药品监督管理的部门依照《中华人民共和国电子商务法》的规定给予处罚。</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第九十三条　未进行医疗器械临床试验机构备案开展临床试验的，由负责药品监督管理的部门责令停止临床试验并改正；拒不改正的，该临床试验数据不得用于产品注册、备案，处5万元以上10万元以下罚款，并向社会公告；造成严重后果的，5年内禁止其开展相关专业医疗器械临床试验，并处10万元以上30万元以下罚款，由卫生主管部门对违法单位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30%以上3倍以下罚款，依法给予处分。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临床试验申办者开展临床试验未经备案的，由负责药品监督管理的部门责令停止临床试验，对临床试验申办者处5万元以上10万元以下罚款，并向社会公告；造成严重后果的，处10万元以上30万元以下罚款。该临床试验数据不得用于产品注册、备案，5年内不受理相关责任人以及单位提出的医疗器械注册申请。</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临床试验申办者未经批准开展对人体具有较高风险的第三类医疗器械临床试验的，由负责药品监督管理的部门责令立即停止临床试验，对临床试验申办者处10万元以上30万元以下罚款，并向社会公告；造成严重后果的，处30万元以上100万元以下罚款。该临床试验数据不得用于产品注册，10年内不受理相关责任人以及单位提出的医疗器械临床试验和注册申请，对违法单位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30%以上3倍以下罚款。</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第九十四条　医疗器械临床试验机构开展医疗器械临床试验未遵守临床试验质量管理规范的，由负责药品监督管理的部门责令改正或者立即停止临床试验，处5万元以上10万元以下罚款；造成严重后果的，5年内禁止其开展相关专业医疗器械临床试验，由卫生主管部门对违法单位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30%以上3倍以下罚款，依法给予处分。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第九十五条　医疗器械临床试验机构出具虚假报告的，由负责药品监督管理的部门处10万元以上30万元以下罚款；有违法所得的，没收违法所得；10年内禁止其开展相关专业医疗器械临床试验；由卫生主管部门对违法单位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30%以上3倍以下罚款，依法给予处分。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第九十六条　医疗器械检验机构出具虚假检验报告的，由授予其资质的主管部门撤销检验资质，10年内不受理相关责任人以及单位提出的资质认定申请，并处10万元以上30万元以下罚款；有违法所得的，没收违法所得；对违法单位</w:t>
      </w:r>
      <w:r w:rsidRPr="000E16FE">
        <w:rPr>
          <w:rFonts w:ascii="宋体" w:eastAsia="宋体" w:hAnsi="宋体" w:cs="宋体" w:hint="eastAsia"/>
          <w:color w:val="333333"/>
          <w:kern w:val="0"/>
          <w:sz w:val="24"/>
          <w:szCs w:val="24"/>
        </w:rPr>
        <w:lastRenderedPageBreak/>
        <w:t>的法定代表人、主要负责人、直接负责的主管人员和其他责任人员，没收违法行为发生期间自本单位所获收入，并</w:t>
      </w:r>
      <w:proofErr w:type="gramStart"/>
      <w:r w:rsidRPr="000E16FE">
        <w:rPr>
          <w:rFonts w:ascii="宋体" w:eastAsia="宋体" w:hAnsi="宋体" w:cs="宋体" w:hint="eastAsia"/>
          <w:color w:val="333333"/>
          <w:kern w:val="0"/>
          <w:sz w:val="24"/>
          <w:szCs w:val="24"/>
        </w:rPr>
        <w:t>处所获收入</w:t>
      </w:r>
      <w:proofErr w:type="gramEnd"/>
      <w:r w:rsidRPr="000E16FE">
        <w:rPr>
          <w:rFonts w:ascii="宋体" w:eastAsia="宋体" w:hAnsi="宋体" w:cs="宋体" w:hint="eastAsia"/>
          <w:color w:val="333333"/>
          <w:kern w:val="0"/>
          <w:sz w:val="24"/>
          <w:szCs w:val="24"/>
        </w:rPr>
        <w:t>30%以上3倍以下罚款，依法给予处分；受到开除处分的，10年内禁止其从事医疗器械检验工作。</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第九十七条　违反本条例有关医疗器械广告管理规定的，依照《中华人民共和国广告法》的规定给予处罚。</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第九十八条　境外医疗器械注册人、备案人指定的我国境内企业法人未依照本条例规定履行相关义务的，由省、自治区、直辖市人民政府药品监督管理部门责令改正，给予警告，并处5万元以上10万元以下罚款；情节严重的，处10万元以上50万元以下罚款，5年内禁止其法定代表人、主要负责人、直接负责的主管人员和其他责任人员从事医疗器械生产经营活动。</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境外医疗器械注册人、备案人拒不履行依据本条例</w:t>
      </w:r>
      <w:proofErr w:type="gramStart"/>
      <w:r w:rsidRPr="000E16FE">
        <w:rPr>
          <w:rFonts w:ascii="宋体" w:eastAsia="宋体" w:hAnsi="宋体" w:cs="宋体" w:hint="eastAsia"/>
          <w:color w:val="333333"/>
          <w:kern w:val="0"/>
          <w:sz w:val="24"/>
          <w:szCs w:val="24"/>
        </w:rPr>
        <w:t>作出</w:t>
      </w:r>
      <w:proofErr w:type="gramEnd"/>
      <w:r w:rsidRPr="000E16FE">
        <w:rPr>
          <w:rFonts w:ascii="宋体" w:eastAsia="宋体" w:hAnsi="宋体" w:cs="宋体" w:hint="eastAsia"/>
          <w:color w:val="333333"/>
          <w:kern w:val="0"/>
          <w:sz w:val="24"/>
          <w:szCs w:val="24"/>
        </w:rPr>
        <w:t>的行政处罚决定的，10年内禁止其医疗器械进口。</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第九十九条　医疗器械研制、生产、经营单位和检验机构违反本条例规定使用禁止从事医疗器械生产经营活动、检验工作的人员的，由负责药品监督管理的部门责令改正，给予警告；拒不改正的，责令停产停业直至吊销许可证件。</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第一百条　医疗器械技术审评机构、医疗器械不良事件监测技术机构未依照本条例规定履行职责，致使审评、监测工作出现重大失误的，由负责药品监督管理的部门责令改正，通报批评，给予警告；造成严重后果的，对违法单位的法定代表人、主要负责人、直接负责的主管人员和其他责任人员，依法给予处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第一百零一条　负责药品监督管理的部门或者其他有关部门工作人员违反本条例规定，滥用职权、玩忽职守、徇私舞弊的，依法给予处分。</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第一百零二条　违反本条例规定，构成犯罪的，依法追究刑事责任；造成人身、财产或者其他损害的，依法承担赔偿责任。</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0E16FE">
        <w:rPr>
          <w:rFonts w:ascii="黑体" w:eastAsia="黑体" w:hAnsi="黑体" w:cs="宋体" w:hint="eastAsia"/>
          <w:color w:val="333333"/>
          <w:kern w:val="0"/>
          <w:sz w:val="27"/>
          <w:szCs w:val="27"/>
        </w:rPr>
        <w:t>第八章　附　　则</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第一百零三条　本条例下列用语的含义：</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是指直接或者间接用于人体的仪器、设备、器具、体外诊断试剂及校准物、材料以及其他类似或者相关的物品，包括所需要的计算机软件；其效用主要通过物理等方式获得，不是通过药理学、免疫学或者代谢的方式获得，或者虽然有这些方式参与但是只起辅助作用；其目的是：</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（一）疾病的诊断、预防、监护、治疗或者缓解；</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（二）损伤的诊断、监护、治疗、缓解或者功能补偿；</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（三）生理结构或者生理过程的检验、替代、调节或者支持；</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（四）生命的支持或者维持；</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（五）妊娠控制；</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（六）通过对来自人体的样本进行检查，为医疗或者诊断目的提供信息。</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医疗器械注册人、备案人，是指取得医疗器械注册证或者办理医疗器械备案的企业或者研制机构。</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医疗器械使用单位，是指使用医疗器械为他人提供医疗等技术服务的机构，包括医疗机构、计划生育技术服务机构、血站、单采血浆站、康复辅助器具适配机构等。</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大型医用设备，是指使用技术复杂、资金投入量大、运行成本高、对医疗费用影响大且纳入目录管理的大型医疗器械。</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第一百零四条　医疗器械产品注册可以收取费用。具体收费项目、标准分别由国务院财政、价格主管部门按照国家有关规定制定。</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第一百零五条　医疗卫生机构为应对突发公共卫生事件而研制的医疗器械的管理办法，由国务院药品监督管理部门会同国务院卫生主管部门制定。</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从事非营利的避孕医疗器械的存储、调拨和供应，应当遵守国务院卫生主管部门会同国务院药品监督管理部门制定的管理办法。</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中医医疗器械的技术指导原则，由国务院药品监督管理部门会同国务院中医药管理部门制定。</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t xml:space="preserve">　　第一百零六条　军队医疗器械使用的监督管理，依照本条例和军队有关规定执行。</w:t>
      </w:r>
    </w:p>
    <w:p w:rsidR="000E16FE" w:rsidRPr="000E16FE" w:rsidRDefault="000E16FE" w:rsidP="000E16FE">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0E16FE">
        <w:rPr>
          <w:rFonts w:ascii="宋体" w:eastAsia="宋体" w:hAnsi="宋体" w:cs="宋体" w:hint="eastAsia"/>
          <w:color w:val="333333"/>
          <w:kern w:val="0"/>
          <w:sz w:val="24"/>
          <w:szCs w:val="24"/>
        </w:rPr>
        <w:lastRenderedPageBreak/>
        <w:t xml:space="preserve">　　第一百零七条　本条例自2021年6月1日起施行。</w:t>
      </w:r>
    </w:p>
    <w:p w:rsidR="00A21B13" w:rsidRPr="000E16FE" w:rsidRDefault="00A21B13">
      <w:bookmarkStart w:id="0" w:name="_GoBack"/>
      <w:bookmarkEnd w:id="0"/>
    </w:p>
    <w:sectPr w:rsidR="00A21B13" w:rsidRPr="000E16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62" w:rsidRDefault="00713462" w:rsidP="000E16FE">
      <w:r>
        <w:separator/>
      </w:r>
    </w:p>
  </w:endnote>
  <w:endnote w:type="continuationSeparator" w:id="0">
    <w:p w:rsidR="00713462" w:rsidRDefault="00713462" w:rsidP="000E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62" w:rsidRDefault="00713462" w:rsidP="000E16FE">
      <w:r>
        <w:separator/>
      </w:r>
    </w:p>
  </w:footnote>
  <w:footnote w:type="continuationSeparator" w:id="0">
    <w:p w:rsidR="00713462" w:rsidRDefault="00713462" w:rsidP="000E1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439DA"/>
    <w:multiLevelType w:val="multilevel"/>
    <w:tmpl w:val="2412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D2D12"/>
    <w:multiLevelType w:val="multilevel"/>
    <w:tmpl w:val="6FD4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33091"/>
    <w:multiLevelType w:val="multilevel"/>
    <w:tmpl w:val="EAE2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E75E18"/>
    <w:multiLevelType w:val="multilevel"/>
    <w:tmpl w:val="0E1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16600"/>
    <w:multiLevelType w:val="multilevel"/>
    <w:tmpl w:val="B212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AF4FE0"/>
    <w:multiLevelType w:val="multilevel"/>
    <w:tmpl w:val="12DA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B4142C"/>
    <w:multiLevelType w:val="multilevel"/>
    <w:tmpl w:val="00A8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3698A"/>
    <w:multiLevelType w:val="multilevel"/>
    <w:tmpl w:val="37BE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E775DF"/>
    <w:multiLevelType w:val="multilevel"/>
    <w:tmpl w:val="82A0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8"/>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5B"/>
    <w:rsid w:val="000E16FE"/>
    <w:rsid w:val="001A715B"/>
    <w:rsid w:val="00713462"/>
    <w:rsid w:val="00A2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1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16FE"/>
    <w:rPr>
      <w:sz w:val="18"/>
      <w:szCs w:val="18"/>
    </w:rPr>
  </w:style>
  <w:style w:type="paragraph" w:styleId="a4">
    <w:name w:val="footer"/>
    <w:basedOn w:val="a"/>
    <w:link w:val="Char0"/>
    <w:uiPriority w:val="99"/>
    <w:unhideWhenUsed/>
    <w:rsid w:val="000E16FE"/>
    <w:pPr>
      <w:tabs>
        <w:tab w:val="center" w:pos="4153"/>
        <w:tab w:val="right" w:pos="8306"/>
      </w:tabs>
      <w:snapToGrid w:val="0"/>
      <w:jc w:val="left"/>
    </w:pPr>
    <w:rPr>
      <w:sz w:val="18"/>
      <w:szCs w:val="18"/>
    </w:rPr>
  </w:style>
  <w:style w:type="character" w:customStyle="1" w:styleId="Char0">
    <w:name w:val="页脚 Char"/>
    <w:basedOn w:val="a0"/>
    <w:link w:val="a4"/>
    <w:uiPriority w:val="99"/>
    <w:rsid w:val="000E16FE"/>
    <w:rPr>
      <w:sz w:val="18"/>
      <w:szCs w:val="18"/>
    </w:rPr>
  </w:style>
  <w:style w:type="paragraph" w:styleId="a5">
    <w:name w:val="Normal (Web)"/>
    <w:basedOn w:val="a"/>
    <w:uiPriority w:val="99"/>
    <w:semiHidden/>
    <w:unhideWhenUsed/>
    <w:rsid w:val="000E16F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1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16FE"/>
    <w:rPr>
      <w:sz w:val="18"/>
      <w:szCs w:val="18"/>
    </w:rPr>
  </w:style>
  <w:style w:type="paragraph" w:styleId="a4">
    <w:name w:val="footer"/>
    <w:basedOn w:val="a"/>
    <w:link w:val="Char0"/>
    <w:uiPriority w:val="99"/>
    <w:unhideWhenUsed/>
    <w:rsid w:val="000E16FE"/>
    <w:pPr>
      <w:tabs>
        <w:tab w:val="center" w:pos="4153"/>
        <w:tab w:val="right" w:pos="8306"/>
      </w:tabs>
      <w:snapToGrid w:val="0"/>
      <w:jc w:val="left"/>
    </w:pPr>
    <w:rPr>
      <w:sz w:val="18"/>
      <w:szCs w:val="18"/>
    </w:rPr>
  </w:style>
  <w:style w:type="character" w:customStyle="1" w:styleId="Char0">
    <w:name w:val="页脚 Char"/>
    <w:basedOn w:val="a0"/>
    <w:link w:val="a4"/>
    <w:uiPriority w:val="99"/>
    <w:rsid w:val="000E16FE"/>
    <w:rPr>
      <w:sz w:val="18"/>
      <w:szCs w:val="18"/>
    </w:rPr>
  </w:style>
  <w:style w:type="paragraph" w:styleId="a5">
    <w:name w:val="Normal (Web)"/>
    <w:basedOn w:val="a"/>
    <w:uiPriority w:val="99"/>
    <w:semiHidden/>
    <w:unhideWhenUsed/>
    <w:rsid w:val="000E16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1064">
      <w:bodyDiv w:val="1"/>
      <w:marLeft w:val="0"/>
      <w:marRight w:val="0"/>
      <w:marTop w:val="0"/>
      <w:marBottom w:val="0"/>
      <w:divBdr>
        <w:top w:val="none" w:sz="0" w:space="0" w:color="auto"/>
        <w:left w:val="none" w:sz="0" w:space="0" w:color="auto"/>
        <w:bottom w:val="none" w:sz="0" w:space="0" w:color="auto"/>
        <w:right w:val="none" w:sz="0" w:space="0" w:color="auto"/>
      </w:divBdr>
      <w:divsChild>
        <w:div w:id="1884050945">
          <w:marLeft w:val="0"/>
          <w:marRight w:val="0"/>
          <w:marTop w:val="0"/>
          <w:marBottom w:val="0"/>
          <w:divBdr>
            <w:top w:val="none" w:sz="0" w:space="0" w:color="auto"/>
            <w:left w:val="none" w:sz="0" w:space="0" w:color="auto"/>
            <w:bottom w:val="none" w:sz="0" w:space="0" w:color="auto"/>
            <w:right w:val="none" w:sz="0" w:space="0" w:color="auto"/>
          </w:divBdr>
          <w:divsChild>
            <w:div w:id="242880526">
              <w:marLeft w:val="0"/>
              <w:marRight w:val="0"/>
              <w:marTop w:val="0"/>
              <w:marBottom w:val="0"/>
              <w:divBdr>
                <w:top w:val="none" w:sz="0" w:space="0" w:color="auto"/>
                <w:left w:val="none" w:sz="0" w:space="0" w:color="auto"/>
                <w:bottom w:val="none" w:sz="0" w:space="0" w:color="auto"/>
                <w:right w:val="none" w:sz="0" w:space="0" w:color="auto"/>
              </w:divBdr>
              <w:divsChild>
                <w:div w:id="996609959">
                  <w:marLeft w:val="0"/>
                  <w:marRight w:val="0"/>
                  <w:marTop w:val="0"/>
                  <w:marBottom w:val="0"/>
                  <w:divBdr>
                    <w:top w:val="single" w:sz="6" w:space="0" w:color="D3DCEA"/>
                    <w:left w:val="single" w:sz="6" w:space="0" w:color="D3DCEA"/>
                    <w:bottom w:val="single" w:sz="6" w:space="0" w:color="D3DCEA"/>
                    <w:right w:val="single" w:sz="6" w:space="0" w:color="D3DCEA"/>
                  </w:divBdr>
                  <w:divsChild>
                    <w:div w:id="2079790847">
                      <w:marLeft w:val="0"/>
                      <w:marRight w:val="0"/>
                      <w:marTop w:val="0"/>
                      <w:marBottom w:val="0"/>
                      <w:divBdr>
                        <w:top w:val="none" w:sz="0" w:space="0" w:color="auto"/>
                        <w:left w:val="none" w:sz="0" w:space="0" w:color="auto"/>
                        <w:bottom w:val="none" w:sz="0" w:space="0" w:color="auto"/>
                        <w:right w:val="none" w:sz="0" w:space="0" w:color="auto"/>
                      </w:divBdr>
                    </w:div>
                    <w:div w:id="12178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3165</Words>
  <Characters>18047</Characters>
  <Application>Microsoft Office Word</Application>
  <DocSecurity>0</DocSecurity>
  <Lines>150</Lines>
  <Paragraphs>42</Paragraphs>
  <ScaleCrop>false</ScaleCrop>
  <Company>Microsoft</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2021-08-18T05:42:00Z</dcterms:created>
  <dcterms:modified xsi:type="dcterms:W3CDTF">2021-08-18T05:42:00Z</dcterms:modified>
</cp:coreProperties>
</file>